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5102" w14:textId="77777777" w:rsidR="00250C6E" w:rsidRDefault="00250C6E" w:rsidP="00250C6E">
      <w:pPr>
        <w:pStyle w:val="Body-bluebox"/>
        <w:spacing w:before="360"/>
        <w:ind w:left="0"/>
        <w:jc w:val="center"/>
        <w:rPr>
          <w:rFonts w:ascii="Arial" w:hAnsi="Arial" w:cs="HelveticaNeue-Medium"/>
          <w:b/>
          <w:color w:val="auto"/>
          <w:sz w:val="24"/>
          <w:szCs w:val="24"/>
        </w:rPr>
      </w:pPr>
      <w:r>
        <w:rPr>
          <w:noProof/>
          <w:lang w:val="en-AU" w:eastAsia="en-AU"/>
        </w:rPr>
        <w:drawing>
          <wp:inline distT="0" distB="0" distL="0" distR="0" wp14:anchorId="6E7A5193" wp14:editId="6E7A5194">
            <wp:extent cx="1901853" cy="1695450"/>
            <wp:effectExtent l="0" t="0" r="3175" b="0"/>
            <wp:docPr id="137" name="Picture 137" descr="TL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TLC heade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9030" r="38888" b="9353"/>
                    <a:stretch/>
                  </pic:blipFill>
                  <pic:spPr bwMode="auto">
                    <a:xfrm>
                      <a:off x="0" y="0"/>
                      <a:ext cx="1907430" cy="1700422"/>
                    </a:xfrm>
                    <a:prstGeom prst="rect">
                      <a:avLst/>
                    </a:prstGeom>
                    <a:noFill/>
                    <a:ln>
                      <a:noFill/>
                    </a:ln>
                    <a:extLst>
                      <a:ext uri="{53640926-AAD7-44D8-BBD7-CCE9431645EC}">
                        <a14:shadowObscured xmlns:a14="http://schemas.microsoft.com/office/drawing/2010/main"/>
                      </a:ext>
                    </a:extLst>
                  </pic:spPr>
                </pic:pic>
              </a:graphicData>
            </a:graphic>
          </wp:inline>
        </w:drawing>
      </w:r>
    </w:p>
    <w:p w14:paraId="6E7A5103" w14:textId="77777777" w:rsidR="00250C6E" w:rsidRDefault="00250C6E" w:rsidP="00186EBA">
      <w:pPr>
        <w:pStyle w:val="Body-bluebox"/>
        <w:spacing w:before="360"/>
        <w:ind w:left="0"/>
        <w:jc w:val="both"/>
        <w:rPr>
          <w:rFonts w:ascii="Arial" w:hAnsi="Arial" w:cs="HelveticaNeue-Medium"/>
          <w:b/>
          <w:color w:val="auto"/>
          <w:sz w:val="24"/>
          <w:szCs w:val="24"/>
        </w:rPr>
      </w:pPr>
    </w:p>
    <w:p w14:paraId="6E7A5104" w14:textId="77777777" w:rsidR="00186EBA" w:rsidRPr="007F12C9" w:rsidRDefault="002151DF" w:rsidP="00250C6E">
      <w:pPr>
        <w:pStyle w:val="Body-bluebox"/>
        <w:spacing w:before="360"/>
        <w:ind w:left="0"/>
        <w:jc w:val="center"/>
        <w:rPr>
          <w:rFonts w:ascii="Arial" w:hAnsi="Arial" w:cs="HelveticaNeue-Medium"/>
          <w:b/>
          <w:color w:val="auto"/>
          <w:sz w:val="24"/>
          <w:szCs w:val="24"/>
        </w:rPr>
      </w:pPr>
      <w:r>
        <w:rPr>
          <w:rFonts w:ascii="Arial" w:hAnsi="Arial" w:cs="HelveticaNeue-Medium"/>
          <w:b/>
          <w:color w:val="auto"/>
          <w:sz w:val="24"/>
          <w:szCs w:val="24"/>
        </w:rPr>
        <w:t>TIWI LAND COUNCIL</w:t>
      </w:r>
    </w:p>
    <w:p w14:paraId="6E7A5105" w14:textId="77777777" w:rsidR="00186EBA" w:rsidRPr="007F12C9" w:rsidRDefault="00186EBA" w:rsidP="00250C6E">
      <w:pPr>
        <w:pStyle w:val="Body-bluebox"/>
        <w:spacing w:before="0"/>
        <w:ind w:left="0"/>
        <w:jc w:val="center"/>
        <w:rPr>
          <w:rFonts w:ascii="Arial" w:hAnsi="Arial" w:cs="HelveticaNeue-Medium"/>
          <w:color w:val="auto"/>
          <w:sz w:val="24"/>
          <w:szCs w:val="24"/>
        </w:rPr>
      </w:pPr>
      <w:r w:rsidRPr="007F12C9">
        <w:rPr>
          <w:rFonts w:ascii="Arial" w:hAnsi="Arial" w:cs="HelveticaNeue-Medium"/>
          <w:b/>
          <w:color w:val="auto"/>
          <w:sz w:val="24"/>
          <w:szCs w:val="24"/>
        </w:rPr>
        <w:t>AUDIT COMMITTEE CHARTER</w:t>
      </w:r>
    </w:p>
    <w:p w14:paraId="6E7A5106" w14:textId="77777777" w:rsidR="003D3719" w:rsidRPr="000018DA" w:rsidRDefault="003D3719" w:rsidP="00B2505F">
      <w:pPr>
        <w:pStyle w:val="Body"/>
        <w:rPr>
          <w:rFonts w:ascii="Arial" w:hAnsi="Arial"/>
        </w:rPr>
      </w:pPr>
      <w:r w:rsidRPr="000018DA">
        <w:rPr>
          <w:rFonts w:ascii="Arial" w:hAnsi="Arial"/>
        </w:rPr>
        <w:t xml:space="preserve">The </w:t>
      </w:r>
      <w:r w:rsidR="00332B62" w:rsidRPr="006A6671">
        <w:rPr>
          <w:rFonts w:ascii="Arial" w:hAnsi="Arial"/>
        </w:rPr>
        <w:t>accountable authority</w:t>
      </w:r>
      <w:r w:rsidRPr="000018DA">
        <w:rPr>
          <w:rFonts w:ascii="Arial" w:hAnsi="Arial"/>
        </w:rPr>
        <w:t xml:space="preserve"> has established </w:t>
      </w:r>
      <w:r w:rsidR="000F4E40">
        <w:rPr>
          <w:rFonts w:ascii="Arial" w:hAnsi="Arial"/>
        </w:rPr>
        <w:t>an</w:t>
      </w:r>
      <w:r w:rsidRPr="000018DA">
        <w:rPr>
          <w:rFonts w:ascii="Arial" w:hAnsi="Arial"/>
        </w:rPr>
        <w:t xml:space="preserve"> Audit Committee in compliance with section 4</w:t>
      </w:r>
      <w:r w:rsidR="006D29C2">
        <w:rPr>
          <w:rFonts w:ascii="Arial" w:hAnsi="Arial"/>
        </w:rPr>
        <w:t>5</w:t>
      </w:r>
      <w:r w:rsidRPr="000018DA">
        <w:rPr>
          <w:rFonts w:ascii="Arial" w:hAnsi="Arial"/>
        </w:rPr>
        <w:t xml:space="preserve"> of the </w:t>
      </w:r>
      <w:r w:rsidR="006D29C2">
        <w:rPr>
          <w:rFonts w:ascii="Arial" w:hAnsi="Arial" w:cs="HelveticaNeue-LightItalic"/>
          <w:i/>
          <w:iCs/>
        </w:rPr>
        <w:t>Public Governance, Performance and Accountability Act 2013</w:t>
      </w:r>
      <w:r w:rsidRPr="000018DA">
        <w:rPr>
          <w:rFonts w:ascii="Arial" w:hAnsi="Arial"/>
        </w:rPr>
        <w:t xml:space="preserve"> (</w:t>
      </w:r>
      <w:r w:rsidR="006D29C2">
        <w:rPr>
          <w:rFonts w:ascii="Arial" w:hAnsi="Arial"/>
        </w:rPr>
        <w:t>PGPA</w:t>
      </w:r>
      <w:r w:rsidRPr="000018DA">
        <w:rPr>
          <w:rFonts w:ascii="Arial" w:hAnsi="Arial"/>
        </w:rPr>
        <w:t xml:space="preserve"> Act) and</w:t>
      </w:r>
      <w:r w:rsidR="000F4E40">
        <w:rPr>
          <w:rFonts w:ascii="Arial" w:hAnsi="Arial"/>
        </w:rPr>
        <w:t xml:space="preserve"> PGPA </w:t>
      </w:r>
      <w:r w:rsidR="006D29C2">
        <w:rPr>
          <w:rFonts w:ascii="Arial" w:hAnsi="Arial"/>
        </w:rPr>
        <w:t xml:space="preserve">Rule </w:t>
      </w:r>
      <w:r w:rsidR="00B77B80">
        <w:rPr>
          <w:rFonts w:ascii="Arial" w:hAnsi="Arial"/>
        </w:rPr>
        <w:t>section 17</w:t>
      </w:r>
      <w:r w:rsidRPr="000018DA">
        <w:rPr>
          <w:rFonts w:ascii="Arial" w:hAnsi="Arial"/>
        </w:rPr>
        <w:t xml:space="preserve"> </w:t>
      </w:r>
      <w:r w:rsidR="006D29C2">
        <w:rPr>
          <w:rFonts w:ascii="Arial" w:hAnsi="Arial"/>
          <w:i/>
        </w:rPr>
        <w:t>Aud</w:t>
      </w:r>
      <w:r w:rsidR="004B24B2">
        <w:rPr>
          <w:rFonts w:ascii="Arial" w:hAnsi="Arial"/>
          <w:i/>
        </w:rPr>
        <w:t>it Committee for Commonwealth E</w:t>
      </w:r>
      <w:r w:rsidR="006D29C2">
        <w:rPr>
          <w:rFonts w:ascii="Arial" w:hAnsi="Arial"/>
          <w:i/>
        </w:rPr>
        <w:t>ntities</w:t>
      </w:r>
      <w:r w:rsidRPr="000018DA">
        <w:rPr>
          <w:rFonts w:ascii="Arial" w:hAnsi="Arial"/>
        </w:rPr>
        <w:t>.</w:t>
      </w:r>
    </w:p>
    <w:p w14:paraId="6E7A5107" w14:textId="77777777" w:rsidR="003D3719" w:rsidRPr="000018DA" w:rsidRDefault="009464F6" w:rsidP="00B2505F">
      <w:pPr>
        <w:pStyle w:val="Head-Sub1"/>
        <w:outlineLvl w:val="0"/>
        <w:rPr>
          <w:rFonts w:ascii="Arial" w:hAnsi="Arial"/>
        </w:rPr>
      </w:pPr>
      <w:r>
        <w:rPr>
          <w:rFonts w:ascii="Arial" w:hAnsi="Arial"/>
        </w:rPr>
        <w:t>Purpose</w:t>
      </w:r>
    </w:p>
    <w:p w14:paraId="6E7A5108" w14:textId="77777777" w:rsidR="003D3719" w:rsidRPr="009464F6" w:rsidRDefault="003D3719" w:rsidP="003D3719">
      <w:pPr>
        <w:pStyle w:val="Body"/>
        <w:rPr>
          <w:rFonts w:ascii="Arial" w:hAnsi="Arial"/>
        </w:rPr>
      </w:pPr>
      <w:r w:rsidRPr="000018DA">
        <w:rPr>
          <w:rFonts w:ascii="Arial" w:hAnsi="Arial"/>
        </w:rPr>
        <w:t>The committee is</w:t>
      </w:r>
      <w:r w:rsidR="004B24B2">
        <w:rPr>
          <w:rFonts w:ascii="Arial" w:hAnsi="Arial"/>
        </w:rPr>
        <w:t xml:space="preserve"> </w:t>
      </w:r>
      <w:r w:rsidR="009464F6">
        <w:rPr>
          <w:rFonts w:ascii="Arial" w:hAnsi="Arial"/>
        </w:rPr>
        <w:t xml:space="preserve">a sub-committee of the </w:t>
      </w:r>
      <w:r w:rsidR="00332B62" w:rsidRPr="006A6671">
        <w:rPr>
          <w:rFonts w:ascii="Arial" w:hAnsi="Arial"/>
        </w:rPr>
        <w:t>accountable authority</w:t>
      </w:r>
      <w:r w:rsidR="009464F6">
        <w:rPr>
          <w:rFonts w:ascii="Arial" w:hAnsi="Arial"/>
        </w:rPr>
        <w:t xml:space="preserve"> of the </w:t>
      </w:r>
      <w:r w:rsidR="006A6671">
        <w:rPr>
          <w:rFonts w:ascii="Arial" w:hAnsi="Arial"/>
        </w:rPr>
        <w:t>Tiwi Land Council</w:t>
      </w:r>
      <w:r w:rsidR="009464F6">
        <w:rPr>
          <w:rFonts w:ascii="Arial" w:hAnsi="Arial"/>
        </w:rPr>
        <w:t xml:space="preserve"> established to assist the </w:t>
      </w:r>
      <w:r w:rsidR="00332B62" w:rsidRPr="006A6671">
        <w:rPr>
          <w:rFonts w:ascii="Arial" w:hAnsi="Arial"/>
        </w:rPr>
        <w:t>accountable authority</w:t>
      </w:r>
      <w:r w:rsidR="00332B62">
        <w:rPr>
          <w:rFonts w:ascii="Arial" w:hAnsi="Arial"/>
        </w:rPr>
        <w:t xml:space="preserve"> </w:t>
      </w:r>
      <w:r w:rsidR="009464F6">
        <w:rPr>
          <w:rFonts w:ascii="Arial" w:hAnsi="Arial"/>
        </w:rPr>
        <w:t xml:space="preserve">discharge its responsibilities under the </w:t>
      </w:r>
      <w:r w:rsidR="006A6671">
        <w:rPr>
          <w:rFonts w:ascii="Arial" w:hAnsi="Arial"/>
          <w:i/>
        </w:rPr>
        <w:t xml:space="preserve">Aboriginal Lands Right Act (NT) </w:t>
      </w:r>
      <w:r w:rsidR="006A6671" w:rsidRPr="006A6671">
        <w:rPr>
          <w:rFonts w:ascii="Arial" w:hAnsi="Arial"/>
        </w:rPr>
        <w:t>1976</w:t>
      </w:r>
      <w:r w:rsidR="009464F6">
        <w:rPr>
          <w:rFonts w:ascii="Arial" w:hAnsi="Arial"/>
        </w:rPr>
        <w:t xml:space="preserve"> and </w:t>
      </w:r>
      <w:r w:rsidR="009464F6" w:rsidRPr="00EE227A">
        <w:rPr>
          <w:rFonts w:ascii="Arial" w:hAnsi="Arial"/>
        </w:rPr>
        <w:t>the</w:t>
      </w:r>
      <w:r w:rsidR="00EE227A">
        <w:rPr>
          <w:rFonts w:ascii="Arial" w:hAnsi="Arial"/>
          <w:i/>
        </w:rPr>
        <w:t xml:space="preserve"> Public Governance, Performance and A</w:t>
      </w:r>
      <w:r w:rsidR="009464F6" w:rsidRPr="009464F6">
        <w:rPr>
          <w:rFonts w:ascii="Arial" w:hAnsi="Arial"/>
          <w:i/>
        </w:rPr>
        <w:t>ccountability Act 2013</w:t>
      </w:r>
      <w:r w:rsidR="009464F6">
        <w:rPr>
          <w:rFonts w:ascii="Arial" w:hAnsi="Arial"/>
          <w:i/>
        </w:rPr>
        <w:t xml:space="preserve"> </w:t>
      </w:r>
      <w:r w:rsidR="009464F6">
        <w:rPr>
          <w:rFonts w:ascii="Arial" w:hAnsi="Arial"/>
        </w:rPr>
        <w:t>in respect of financial reporting, performance reporting, risk oversight and management, internal control and compliance with relevant laws</w:t>
      </w:r>
      <w:r w:rsidR="00B84297">
        <w:rPr>
          <w:rFonts w:ascii="Arial" w:hAnsi="Arial"/>
        </w:rPr>
        <w:t xml:space="preserve"> and policies</w:t>
      </w:r>
      <w:r w:rsidR="009464F6">
        <w:rPr>
          <w:rFonts w:ascii="Arial" w:hAnsi="Arial"/>
        </w:rPr>
        <w:t>.</w:t>
      </w:r>
      <w:r w:rsidR="00823EEB">
        <w:rPr>
          <w:rStyle w:val="FootnoteReference"/>
          <w:rFonts w:ascii="Arial" w:hAnsi="Arial"/>
        </w:rPr>
        <w:footnoteReference w:id="1"/>
      </w:r>
      <w:r w:rsidR="009464F6">
        <w:rPr>
          <w:rFonts w:ascii="Arial" w:hAnsi="Arial"/>
        </w:rPr>
        <w:t xml:space="preserve">  </w:t>
      </w:r>
    </w:p>
    <w:p w14:paraId="6E7A5109" w14:textId="77777777" w:rsidR="004B24B2" w:rsidRDefault="004B24B2" w:rsidP="003D3719">
      <w:pPr>
        <w:pStyle w:val="Body"/>
        <w:rPr>
          <w:rFonts w:ascii="Arial" w:hAnsi="Arial"/>
        </w:rPr>
      </w:pPr>
      <w:r>
        <w:rPr>
          <w:rFonts w:ascii="Arial" w:hAnsi="Arial"/>
        </w:rPr>
        <w:t xml:space="preserve">The committee is not responsible for the executive management of these functions.  The committee will engage with management in a constructive and professional manner in discharging its responsibilities and formulating </w:t>
      </w:r>
      <w:r w:rsidR="009464F6">
        <w:rPr>
          <w:rFonts w:ascii="Arial" w:hAnsi="Arial"/>
        </w:rPr>
        <w:t xml:space="preserve">its </w:t>
      </w:r>
      <w:r>
        <w:rPr>
          <w:rFonts w:ascii="Arial" w:hAnsi="Arial"/>
        </w:rPr>
        <w:t>advice to the</w:t>
      </w:r>
      <w:r w:rsidR="006A6671">
        <w:rPr>
          <w:rFonts w:ascii="Arial" w:hAnsi="Arial"/>
        </w:rPr>
        <w:t xml:space="preserve"> </w:t>
      </w:r>
      <w:r w:rsidR="00332B62" w:rsidRPr="006A6671">
        <w:rPr>
          <w:rFonts w:ascii="Arial" w:hAnsi="Arial"/>
        </w:rPr>
        <w:t>accountable authority</w:t>
      </w:r>
      <w:r>
        <w:rPr>
          <w:rFonts w:ascii="Arial" w:hAnsi="Arial"/>
        </w:rPr>
        <w:t>.</w:t>
      </w:r>
    </w:p>
    <w:p w14:paraId="6E7A510A" w14:textId="77777777" w:rsidR="003D3719" w:rsidRPr="000018DA" w:rsidRDefault="003D3719" w:rsidP="00AB1826">
      <w:pPr>
        <w:pStyle w:val="Head-Sub1"/>
        <w:ind w:left="0" w:firstLine="0"/>
        <w:outlineLvl w:val="0"/>
        <w:rPr>
          <w:rFonts w:ascii="Arial" w:hAnsi="Arial"/>
        </w:rPr>
      </w:pPr>
      <w:r w:rsidRPr="000018DA">
        <w:rPr>
          <w:rFonts w:ascii="Arial" w:hAnsi="Arial"/>
        </w:rPr>
        <w:t>Authority</w:t>
      </w:r>
    </w:p>
    <w:p w14:paraId="6E7A510B" w14:textId="77777777" w:rsidR="003D3719" w:rsidRPr="000018DA" w:rsidRDefault="003D3719" w:rsidP="003D3719">
      <w:pPr>
        <w:pStyle w:val="Body"/>
        <w:rPr>
          <w:rFonts w:ascii="Arial" w:hAnsi="Arial"/>
        </w:rPr>
      </w:pPr>
      <w:r w:rsidRPr="000018DA">
        <w:rPr>
          <w:rFonts w:ascii="Arial" w:hAnsi="Arial"/>
        </w:rPr>
        <w:t xml:space="preserve">The </w:t>
      </w:r>
      <w:r w:rsidR="00332B62" w:rsidRPr="006A6671">
        <w:rPr>
          <w:rFonts w:ascii="Arial" w:hAnsi="Arial"/>
        </w:rPr>
        <w:t>accountable authority</w:t>
      </w:r>
      <w:r w:rsidR="00332B62">
        <w:rPr>
          <w:rFonts w:ascii="Arial" w:hAnsi="Arial"/>
        </w:rPr>
        <w:t xml:space="preserve"> </w:t>
      </w:r>
      <w:r w:rsidR="00823EEB" w:rsidRPr="000018DA">
        <w:rPr>
          <w:rFonts w:ascii="Arial" w:hAnsi="Arial"/>
        </w:rPr>
        <w:t>authorises</w:t>
      </w:r>
      <w:r w:rsidRPr="000018DA">
        <w:rPr>
          <w:rFonts w:ascii="Arial" w:hAnsi="Arial"/>
        </w:rPr>
        <w:t xml:space="preserve"> the committee, within its responsibilities, to:</w:t>
      </w:r>
    </w:p>
    <w:p w14:paraId="6E7A510C" w14:textId="77777777" w:rsidR="003D3719" w:rsidRPr="000018DA" w:rsidRDefault="003D3719" w:rsidP="003D3719">
      <w:pPr>
        <w:pStyle w:val="Body-dotpoints"/>
        <w:rPr>
          <w:rFonts w:ascii="Arial" w:hAnsi="Arial"/>
        </w:rPr>
      </w:pPr>
      <w:r w:rsidRPr="000018DA">
        <w:rPr>
          <w:rFonts w:ascii="Arial" w:hAnsi="Arial"/>
        </w:rPr>
        <w:t>•</w:t>
      </w:r>
      <w:r w:rsidRPr="000018DA">
        <w:rPr>
          <w:rFonts w:ascii="Arial" w:hAnsi="Arial"/>
        </w:rPr>
        <w:tab/>
        <w:t xml:space="preserve">obtain any information it requires from any </w:t>
      </w:r>
      <w:r w:rsidR="00CD5A7D">
        <w:rPr>
          <w:rFonts w:ascii="Arial" w:hAnsi="Arial"/>
        </w:rPr>
        <w:t>official</w:t>
      </w:r>
      <w:r w:rsidRPr="000018DA">
        <w:rPr>
          <w:rFonts w:ascii="Arial" w:hAnsi="Arial"/>
        </w:rPr>
        <w:t xml:space="preserve"> or external party (subject to any legal obligation to protect information);</w:t>
      </w:r>
    </w:p>
    <w:p w14:paraId="6E7A510D" w14:textId="77777777" w:rsidR="003D3719" w:rsidRPr="000018DA" w:rsidRDefault="003D3719" w:rsidP="003D3719">
      <w:pPr>
        <w:pStyle w:val="Body-dotpoints"/>
        <w:rPr>
          <w:rFonts w:ascii="Arial" w:hAnsi="Arial"/>
        </w:rPr>
      </w:pPr>
      <w:r w:rsidRPr="000018DA">
        <w:rPr>
          <w:rFonts w:ascii="Arial" w:hAnsi="Arial"/>
        </w:rPr>
        <w:t>•</w:t>
      </w:r>
      <w:r w:rsidRPr="000018DA">
        <w:rPr>
          <w:rFonts w:ascii="Arial" w:hAnsi="Arial"/>
        </w:rPr>
        <w:tab/>
        <w:t xml:space="preserve">discuss any matters with the </w:t>
      </w:r>
      <w:r w:rsidR="00B77B80">
        <w:rPr>
          <w:rFonts w:ascii="Arial" w:hAnsi="Arial"/>
        </w:rPr>
        <w:t>ANAO</w:t>
      </w:r>
      <w:r w:rsidRPr="000018DA">
        <w:rPr>
          <w:rFonts w:ascii="Arial" w:hAnsi="Arial"/>
        </w:rPr>
        <w:t>, or other external parties (subject to confidentiality considerations);</w:t>
      </w:r>
    </w:p>
    <w:p w14:paraId="6E7A510E" w14:textId="77777777" w:rsidR="003D3719" w:rsidRPr="000018DA" w:rsidRDefault="003D3719" w:rsidP="003D3719">
      <w:pPr>
        <w:pStyle w:val="Body-dotpoints"/>
        <w:rPr>
          <w:rFonts w:ascii="Arial" w:hAnsi="Arial"/>
        </w:rPr>
      </w:pPr>
      <w:r w:rsidRPr="000018DA">
        <w:rPr>
          <w:rFonts w:ascii="Arial" w:hAnsi="Arial"/>
        </w:rPr>
        <w:t>•</w:t>
      </w:r>
      <w:r w:rsidRPr="000018DA">
        <w:rPr>
          <w:rFonts w:ascii="Arial" w:hAnsi="Arial"/>
        </w:rPr>
        <w:tab/>
        <w:t xml:space="preserve">request the attendance of any </w:t>
      </w:r>
      <w:r w:rsidR="00823EEB">
        <w:rPr>
          <w:rFonts w:ascii="Arial" w:hAnsi="Arial"/>
        </w:rPr>
        <w:t>official</w:t>
      </w:r>
      <w:r w:rsidRPr="000018DA">
        <w:rPr>
          <w:rFonts w:ascii="Arial" w:hAnsi="Arial"/>
        </w:rPr>
        <w:t xml:space="preserve">, including </w:t>
      </w:r>
      <w:r w:rsidR="00823EEB">
        <w:rPr>
          <w:rFonts w:ascii="Arial" w:hAnsi="Arial"/>
        </w:rPr>
        <w:t xml:space="preserve">members of the Board, </w:t>
      </w:r>
      <w:r w:rsidRPr="000018DA">
        <w:rPr>
          <w:rFonts w:ascii="Arial" w:hAnsi="Arial"/>
        </w:rPr>
        <w:t>at committee meetings; and</w:t>
      </w:r>
    </w:p>
    <w:p w14:paraId="6E7A510F" w14:textId="77777777" w:rsidR="003D3719" w:rsidRDefault="003D3719" w:rsidP="00B2505F">
      <w:pPr>
        <w:pStyle w:val="Body-dotpoints"/>
        <w:rPr>
          <w:rFonts w:ascii="Arial" w:hAnsi="Arial"/>
        </w:rPr>
      </w:pPr>
      <w:r w:rsidRPr="000018DA">
        <w:rPr>
          <w:rFonts w:ascii="Arial" w:hAnsi="Arial"/>
        </w:rPr>
        <w:t>•</w:t>
      </w:r>
      <w:r w:rsidRPr="000018DA">
        <w:rPr>
          <w:rFonts w:ascii="Arial" w:hAnsi="Arial"/>
        </w:rPr>
        <w:tab/>
        <w:t>obtain legal or other professional advice</w:t>
      </w:r>
      <w:r w:rsidR="00823EEB">
        <w:rPr>
          <w:rFonts w:ascii="Arial" w:hAnsi="Arial"/>
        </w:rPr>
        <w:t xml:space="preserve"> at the </w:t>
      </w:r>
      <w:r w:rsidR="007411EC">
        <w:rPr>
          <w:rFonts w:ascii="Arial" w:hAnsi="Arial"/>
        </w:rPr>
        <w:t>Tiwi Land Council’s</w:t>
      </w:r>
      <w:r w:rsidR="00823EEB">
        <w:rPr>
          <w:rFonts w:ascii="Arial" w:hAnsi="Arial"/>
        </w:rPr>
        <w:t xml:space="preserve"> expense</w:t>
      </w:r>
      <w:r w:rsidRPr="000018DA">
        <w:rPr>
          <w:rFonts w:ascii="Arial" w:hAnsi="Arial"/>
        </w:rPr>
        <w:t>, as considered necessary to meet its responsibilities</w:t>
      </w:r>
      <w:r w:rsidR="00823EEB">
        <w:rPr>
          <w:rFonts w:ascii="Arial" w:hAnsi="Arial"/>
        </w:rPr>
        <w:t>.</w:t>
      </w:r>
    </w:p>
    <w:p w14:paraId="6E7A5110" w14:textId="77777777" w:rsidR="003D3719" w:rsidRPr="000018DA" w:rsidRDefault="00B84297" w:rsidP="00140F0C">
      <w:pPr>
        <w:pStyle w:val="Head-Sub1"/>
        <w:ind w:left="0" w:firstLine="0"/>
        <w:outlineLvl w:val="0"/>
        <w:rPr>
          <w:rFonts w:ascii="Arial" w:hAnsi="Arial"/>
        </w:rPr>
      </w:pPr>
      <w:r>
        <w:rPr>
          <w:rFonts w:ascii="Arial" w:hAnsi="Arial"/>
        </w:rPr>
        <w:lastRenderedPageBreak/>
        <w:t>Membership</w:t>
      </w:r>
    </w:p>
    <w:p w14:paraId="6E7A5111" w14:textId="77777777" w:rsidR="003D3719" w:rsidRPr="000018DA" w:rsidRDefault="003D3719" w:rsidP="003D3719">
      <w:pPr>
        <w:pStyle w:val="Body"/>
        <w:rPr>
          <w:rFonts w:ascii="Arial" w:hAnsi="Arial"/>
        </w:rPr>
      </w:pPr>
      <w:r w:rsidRPr="000018DA">
        <w:rPr>
          <w:rFonts w:ascii="Arial" w:hAnsi="Arial"/>
        </w:rPr>
        <w:t xml:space="preserve">The Audit Committee comprises </w:t>
      </w:r>
      <w:r w:rsidR="006A6671">
        <w:rPr>
          <w:rFonts w:ascii="Arial" w:hAnsi="Arial"/>
        </w:rPr>
        <w:t>3</w:t>
      </w:r>
      <w:r w:rsidRPr="000018DA">
        <w:rPr>
          <w:rFonts w:ascii="Arial" w:hAnsi="Arial"/>
        </w:rPr>
        <w:t xml:space="preserve"> members, appointed by the </w:t>
      </w:r>
      <w:r w:rsidR="00332B62" w:rsidRPr="006A6671">
        <w:rPr>
          <w:rFonts w:ascii="Arial" w:hAnsi="Arial"/>
        </w:rPr>
        <w:t>accountable authority</w:t>
      </w:r>
      <w:r w:rsidR="006A6671">
        <w:rPr>
          <w:rFonts w:ascii="Arial" w:hAnsi="Arial"/>
          <w:color w:val="FF0000"/>
        </w:rPr>
        <w:t>.</w:t>
      </w:r>
      <w:r w:rsidRPr="000018DA">
        <w:rPr>
          <w:rStyle w:val="FootnoteReference"/>
          <w:rFonts w:ascii="Arial" w:hAnsi="Arial"/>
        </w:rPr>
        <w:footnoteReference w:id="2"/>
      </w:r>
    </w:p>
    <w:p w14:paraId="6E7A5112" w14:textId="77777777" w:rsidR="006A6671" w:rsidRDefault="003D3719" w:rsidP="003D3719">
      <w:pPr>
        <w:pStyle w:val="Body"/>
        <w:rPr>
          <w:rFonts w:ascii="Arial" w:hAnsi="Arial"/>
        </w:rPr>
      </w:pPr>
      <w:r w:rsidRPr="000018DA">
        <w:rPr>
          <w:rFonts w:ascii="Arial" w:hAnsi="Arial"/>
        </w:rPr>
        <w:t xml:space="preserve">The </w:t>
      </w:r>
      <w:r w:rsidR="006A6671">
        <w:rPr>
          <w:rFonts w:ascii="Arial" w:hAnsi="Arial"/>
        </w:rPr>
        <w:t>a</w:t>
      </w:r>
      <w:r w:rsidR="00332B62" w:rsidRPr="006A6671">
        <w:rPr>
          <w:rFonts w:ascii="Arial" w:hAnsi="Arial"/>
        </w:rPr>
        <w:t>ccountable authority</w:t>
      </w:r>
      <w:r w:rsidR="00CD5A7D">
        <w:rPr>
          <w:rFonts w:ascii="Arial" w:hAnsi="Arial"/>
        </w:rPr>
        <w:t xml:space="preserve"> </w:t>
      </w:r>
      <w:r w:rsidR="00CD5A7D" w:rsidRPr="000018DA">
        <w:rPr>
          <w:rFonts w:ascii="Arial" w:hAnsi="Arial"/>
        </w:rPr>
        <w:t>will</w:t>
      </w:r>
      <w:r w:rsidRPr="000018DA">
        <w:rPr>
          <w:rFonts w:ascii="Arial" w:hAnsi="Arial"/>
        </w:rPr>
        <w:t xml:space="preserve"> appoint the Chair of the committee</w:t>
      </w:r>
      <w:r w:rsidR="00CD5A7D">
        <w:rPr>
          <w:rFonts w:ascii="Arial" w:hAnsi="Arial"/>
        </w:rPr>
        <w:t xml:space="preserve"> who shall not be </w:t>
      </w:r>
      <w:r w:rsidR="00CD5A7D" w:rsidRPr="006A6671">
        <w:rPr>
          <w:rFonts w:ascii="Arial" w:hAnsi="Arial"/>
        </w:rPr>
        <w:t xml:space="preserve">the Chair of the </w:t>
      </w:r>
      <w:r w:rsidR="00332B62" w:rsidRPr="006A6671">
        <w:rPr>
          <w:rFonts w:ascii="Arial" w:hAnsi="Arial"/>
        </w:rPr>
        <w:t>accountable authority</w:t>
      </w:r>
      <w:r w:rsidR="006A6671">
        <w:rPr>
          <w:rFonts w:ascii="Arial" w:hAnsi="Arial"/>
        </w:rPr>
        <w:t>.</w:t>
      </w:r>
    </w:p>
    <w:p w14:paraId="6E7A5113" w14:textId="77777777" w:rsidR="003D3719" w:rsidRDefault="00724960" w:rsidP="003D3719">
      <w:pPr>
        <w:pStyle w:val="Body"/>
        <w:rPr>
          <w:rFonts w:ascii="Arial" w:hAnsi="Arial"/>
        </w:rPr>
      </w:pPr>
      <w:r>
        <w:rPr>
          <w:rFonts w:ascii="Arial" w:hAnsi="Arial"/>
        </w:rPr>
        <w:t>T</w:t>
      </w:r>
      <w:r w:rsidR="003D3719" w:rsidRPr="000018DA">
        <w:rPr>
          <w:rFonts w:ascii="Arial" w:hAnsi="Arial"/>
        </w:rPr>
        <w:t>he committee is authorised to appoint a Deputy Chair who will act as chair in the absence of the Chair.</w:t>
      </w:r>
    </w:p>
    <w:p w14:paraId="6E7A5114" w14:textId="77777777" w:rsidR="00CD5A7D" w:rsidRPr="000018DA" w:rsidRDefault="00CD5A7D" w:rsidP="003D3719">
      <w:pPr>
        <w:pStyle w:val="Body"/>
        <w:rPr>
          <w:rFonts w:ascii="Arial" w:hAnsi="Arial"/>
        </w:rPr>
      </w:pPr>
      <w:r>
        <w:rPr>
          <w:rFonts w:ascii="Arial" w:hAnsi="Arial"/>
        </w:rPr>
        <w:t xml:space="preserve">The </w:t>
      </w:r>
      <w:r w:rsidRPr="006A6671">
        <w:rPr>
          <w:rFonts w:ascii="Arial" w:hAnsi="Arial"/>
        </w:rPr>
        <w:t xml:space="preserve">chair of the </w:t>
      </w:r>
      <w:r w:rsidR="00332B62" w:rsidRPr="006A6671">
        <w:rPr>
          <w:rFonts w:ascii="Arial" w:hAnsi="Arial"/>
        </w:rPr>
        <w:t xml:space="preserve">accountable authority </w:t>
      </w:r>
      <w:r>
        <w:rPr>
          <w:rFonts w:ascii="Arial" w:hAnsi="Arial"/>
        </w:rPr>
        <w:t xml:space="preserve">and other </w:t>
      </w:r>
      <w:r w:rsidR="00332B62" w:rsidRPr="006A6671">
        <w:rPr>
          <w:rFonts w:ascii="Arial" w:hAnsi="Arial"/>
        </w:rPr>
        <w:t>accountable authority</w:t>
      </w:r>
      <w:r w:rsidR="00332B62">
        <w:rPr>
          <w:rFonts w:ascii="Arial" w:hAnsi="Arial"/>
        </w:rPr>
        <w:t xml:space="preserve"> </w:t>
      </w:r>
      <w:r>
        <w:rPr>
          <w:rFonts w:ascii="Arial" w:hAnsi="Arial"/>
        </w:rPr>
        <w:t>members may attend committee meetings, and when they elect to do so, will require copies of committee papers.</w:t>
      </w:r>
    </w:p>
    <w:p w14:paraId="6E7A5115" w14:textId="77777777" w:rsidR="003D3719" w:rsidRPr="00446470" w:rsidRDefault="003D3719" w:rsidP="003D3719">
      <w:pPr>
        <w:pStyle w:val="Body"/>
        <w:rPr>
          <w:rFonts w:ascii="Arial" w:hAnsi="Arial"/>
        </w:rPr>
      </w:pPr>
      <w:r w:rsidRPr="000018DA">
        <w:rPr>
          <w:rFonts w:ascii="Arial" w:hAnsi="Arial"/>
        </w:rPr>
        <w:t xml:space="preserve">The </w:t>
      </w:r>
      <w:r w:rsidR="00DD3802">
        <w:rPr>
          <w:rFonts w:ascii="Arial" w:hAnsi="Arial"/>
        </w:rPr>
        <w:t xml:space="preserve">members of the </w:t>
      </w:r>
      <w:r w:rsidR="00DD3802" w:rsidRPr="00446470">
        <w:rPr>
          <w:rFonts w:ascii="Arial" w:hAnsi="Arial"/>
        </w:rPr>
        <w:t>accountable authority</w:t>
      </w:r>
      <w:r w:rsidR="00446470">
        <w:rPr>
          <w:rFonts w:ascii="Arial" w:hAnsi="Arial"/>
        </w:rPr>
        <w:t xml:space="preserve">, </w:t>
      </w:r>
      <w:r w:rsidR="00446470" w:rsidRPr="000018DA">
        <w:rPr>
          <w:rFonts w:ascii="Arial" w:hAnsi="Arial"/>
        </w:rPr>
        <w:t>Chief</w:t>
      </w:r>
      <w:r w:rsidRPr="000018DA">
        <w:rPr>
          <w:rFonts w:ascii="Arial" w:hAnsi="Arial"/>
        </w:rPr>
        <w:t xml:space="preserve"> Financial Officer, </w:t>
      </w:r>
      <w:r w:rsidR="006A6671">
        <w:rPr>
          <w:rFonts w:ascii="Arial" w:hAnsi="Arial"/>
        </w:rPr>
        <w:t>Principal Legal Officer</w:t>
      </w:r>
      <w:r w:rsidRPr="000018DA">
        <w:rPr>
          <w:rFonts w:ascii="Arial" w:hAnsi="Arial"/>
        </w:rPr>
        <w:t xml:space="preserve">, </w:t>
      </w:r>
      <w:r w:rsidR="00C10F34">
        <w:rPr>
          <w:rFonts w:ascii="Arial" w:hAnsi="Arial"/>
        </w:rPr>
        <w:t xml:space="preserve">or other </w:t>
      </w:r>
      <w:r w:rsidR="00724960">
        <w:rPr>
          <w:rFonts w:ascii="Arial" w:hAnsi="Arial"/>
        </w:rPr>
        <w:t>executive members</w:t>
      </w:r>
      <w:r w:rsidRPr="000018DA">
        <w:rPr>
          <w:rFonts w:ascii="Arial" w:hAnsi="Arial"/>
        </w:rPr>
        <w:t xml:space="preserve"> may attend meetings as </w:t>
      </w:r>
      <w:r w:rsidR="00C10F34">
        <w:rPr>
          <w:rFonts w:ascii="Arial" w:hAnsi="Arial"/>
        </w:rPr>
        <w:t xml:space="preserve">advisers or </w:t>
      </w:r>
      <w:r w:rsidRPr="000018DA">
        <w:rPr>
          <w:rFonts w:ascii="Arial" w:hAnsi="Arial"/>
        </w:rPr>
        <w:t>observers, as determined by the Chair, but will not be members of the committee.</w:t>
      </w:r>
    </w:p>
    <w:p w14:paraId="6E7A5116" w14:textId="77777777" w:rsidR="00B84297" w:rsidRPr="000018DA" w:rsidRDefault="00B84297" w:rsidP="003D3719">
      <w:pPr>
        <w:pStyle w:val="Body"/>
        <w:rPr>
          <w:rFonts w:ascii="Arial" w:hAnsi="Arial"/>
          <w:spacing w:val="-2"/>
        </w:rPr>
      </w:pPr>
      <w:r>
        <w:rPr>
          <w:rFonts w:ascii="Arial" w:hAnsi="Arial"/>
          <w:spacing w:val="-2"/>
        </w:rPr>
        <w:t>Membership of the committee will be reviewed periodically (but at least every three years)</w:t>
      </w:r>
      <w:r w:rsidR="00EE227A">
        <w:rPr>
          <w:rFonts w:ascii="Arial" w:hAnsi="Arial"/>
          <w:spacing w:val="-2"/>
        </w:rPr>
        <w:t xml:space="preserve"> </w:t>
      </w:r>
      <w:r>
        <w:rPr>
          <w:rFonts w:ascii="Arial" w:hAnsi="Arial"/>
          <w:spacing w:val="-2"/>
        </w:rPr>
        <w:t xml:space="preserve">by the </w:t>
      </w:r>
      <w:r w:rsidR="00DD3802" w:rsidRPr="00446470">
        <w:rPr>
          <w:rFonts w:ascii="Arial" w:hAnsi="Arial"/>
          <w:spacing w:val="-2"/>
        </w:rPr>
        <w:t>accountable authority</w:t>
      </w:r>
      <w:r w:rsidR="00446470">
        <w:rPr>
          <w:rFonts w:ascii="Arial" w:hAnsi="Arial"/>
          <w:spacing w:val="-2"/>
        </w:rPr>
        <w:t xml:space="preserve"> </w:t>
      </w:r>
      <w:r>
        <w:rPr>
          <w:rFonts w:ascii="Arial" w:hAnsi="Arial"/>
          <w:spacing w:val="-2"/>
        </w:rPr>
        <w:t xml:space="preserve">with the aim of ensuring an appropriate balance between continuity of membership, the contribution of fresh perspectives and a suitable mix of qualifications, </w:t>
      </w:r>
      <w:r>
        <w:rPr>
          <w:rFonts w:ascii="Arial" w:eastAsia="Times New Roman" w:hAnsi="Arial"/>
          <w:sz w:val="18"/>
          <w:szCs w:val="18"/>
          <w:lang w:val="en-AU" w:eastAsia="en-US"/>
        </w:rPr>
        <w:t xml:space="preserve">knowledge, skills and experience. </w:t>
      </w:r>
    </w:p>
    <w:p w14:paraId="6E7A5117" w14:textId="77777777" w:rsidR="00140F0C" w:rsidRDefault="00B84297" w:rsidP="003D3719">
      <w:pPr>
        <w:pStyle w:val="Body"/>
        <w:rPr>
          <w:rFonts w:ascii="Arial" w:hAnsi="Arial"/>
        </w:rPr>
      </w:pPr>
      <w:r>
        <w:rPr>
          <w:rFonts w:ascii="Arial" w:hAnsi="Arial"/>
        </w:rPr>
        <w:t>The committee will adopt and maintain a program of</w:t>
      </w:r>
      <w:r w:rsidR="00BB4351">
        <w:rPr>
          <w:rFonts w:ascii="Arial" w:hAnsi="Arial"/>
        </w:rPr>
        <w:t xml:space="preserve"> induction, training and awareness-raising for it</w:t>
      </w:r>
      <w:r w:rsidR="00EE227A">
        <w:rPr>
          <w:rFonts w:ascii="Arial" w:hAnsi="Arial"/>
        </w:rPr>
        <w:t>s</w:t>
      </w:r>
      <w:r w:rsidR="00BB4351">
        <w:rPr>
          <w:rFonts w:ascii="Arial" w:hAnsi="Arial"/>
        </w:rPr>
        <w:t xml:space="preserve"> members, with the objective of enabling the committee to keep abreast of contemporary developments and leading practices in relation to its functions.  </w:t>
      </w:r>
    </w:p>
    <w:p w14:paraId="6E7A5118" w14:textId="77777777" w:rsidR="003D3719" w:rsidRDefault="00B84297" w:rsidP="00D5103F">
      <w:pPr>
        <w:pStyle w:val="Head-Sub1"/>
        <w:spacing w:after="240"/>
        <w:ind w:left="0" w:firstLine="0"/>
        <w:outlineLvl w:val="0"/>
        <w:rPr>
          <w:rFonts w:ascii="Arial" w:hAnsi="Arial"/>
        </w:rPr>
      </w:pPr>
      <w:r>
        <w:rPr>
          <w:rFonts w:ascii="Arial" w:hAnsi="Arial"/>
        </w:rPr>
        <w:t>F</w:t>
      </w:r>
      <w:r w:rsidR="00C96564">
        <w:rPr>
          <w:rFonts w:ascii="Arial" w:hAnsi="Arial"/>
        </w:rPr>
        <w:t>unctions</w:t>
      </w:r>
      <w:r w:rsidR="00315F8F">
        <w:rPr>
          <w:rStyle w:val="FootnoteReference"/>
          <w:rFonts w:ascii="Arial" w:hAnsi="Arial"/>
        </w:rPr>
        <w:footnoteReference w:id="3"/>
      </w:r>
    </w:p>
    <w:p w14:paraId="6E7A5119" w14:textId="77777777" w:rsidR="00B551C3" w:rsidRDefault="00980575" w:rsidP="00980575">
      <w:pPr>
        <w:pStyle w:val="Body"/>
        <w:rPr>
          <w:rFonts w:ascii="Arial" w:hAnsi="Arial"/>
          <w:spacing w:val="-2"/>
        </w:rPr>
      </w:pPr>
      <w:r w:rsidRPr="00980575">
        <w:rPr>
          <w:rFonts w:ascii="Arial" w:hAnsi="Arial"/>
          <w:spacing w:val="-2"/>
        </w:rPr>
        <w:t>The specific responsibilities of the Committee are set out below</w:t>
      </w:r>
      <w:r>
        <w:rPr>
          <w:rFonts w:ascii="Arial" w:hAnsi="Arial"/>
          <w:spacing w:val="-2"/>
        </w:rPr>
        <w:t>.</w:t>
      </w:r>
    </w:p>
    <w:p w14:paraId="6E7A511A" w14:textId="77777777" w:rsidR="00CA4E1C" w:rsidRDefault="00CA4E1C" w:rsidP="00980575">
      <w:pPr>
        <w:pStyle w:val="Body"/>
        <w:rPr>
          <w:rFonts w:ascii="Arial" w:hAnsi="Arial"/>
          <w:spacing w:val="-2"/>
        </w:rPr>
      </w:pPr>
    </w:p>
    <w:tbl>
      <w:tblPr>
        <w:tblW w:w="8789" w:type="dxa"/>
        <w:tblInd w:w="113" w:type="dxa"/>
        <w:tblLayout w:type="fixed"/>
        <w:tblCellMar>
          <w:left w:w="0" w:type="dxa"/>
          <w:right w:w="0" w:type="dxa"/>
        </w:tblCellMar>
        <w:tblLook w:val="0000" w:firstRow="0" w:lastRow="0" w:firstColumn="0" w:lastColumn="0" w:noHBand="0" w:noVBand="0"/>
      </w:tblPr>
      <w:tblGrid>
        <w:gridCol w:w="8789"/>
      </w:tblGrid>
      <w:tr w:rsidR="00C96564" w:rsidRPr="000018DA" w14:paraId="6E7A511C" w14:textId="77777777" w:rsidTr="00CA4E1C">
        <w:trPr>
          <w:trHeight w:val="227"/>
        </w:trPr>
        <w:tc>
          <w:tcPr>
            <w:tcW w:w="8789" w:type="dxa"/>
            <w:shd w:val="clear" w:color="auto" w:fill="0070C0"/>
            <w:tcMar>
              <w:top w:w="113" w:type="dxa"/>
              <w:left w:w="113" w:type="dxa"/>
              <w:bottom w:w="113" w:type="dxa"/>
              <w:right w:w="113" w:type="dxa"/>
            </w:tcMar>
            <w:vAlign w:val="center"/>
          </w:tcPr>
          <w:p w14:paraId="6E7A511B" w14:textId="77777777" w:rsidR="00C96564" w:rsidRDefault="00C96564" w:rsidP="00C96564">
            <w:pPr>
              <w:pStyle w:val="Body"/>
              <w:spacing w:before="0" w:line="240" w:lineRule="auto"/>
              <w:rPr>
                <w:rFonts w:ascii="Arial" w:hAnsi="Arial" w:cs="HelveticaNeue-Medium"/>
                <w:color w:val="FFFFFF"/>
                <w:sz w:val="22"/>
                <w:szCs w:val="22"/>
              </w:rPr>
            </w:pPr>
            <w:r w:rsidRPr="000018DA">
              <w:rPr>
                <w:rFonts w:ascii="Arial" w:hAnsi="Arial" w:cs="HelveticaNeue-Medium"/>
                <w:color w:val="FFFFFF"/>
                <w:sz w:val="22"/>
                <w:szCs w:val="22"/>
              </w:rPr>
              <w:t xml:space="preserve">Financial </w:t>
            </w:r>
            <w:r>
              <w:rPr>
                <w:rFonts w:ascii="Arial" w:hAnsi="Arial" w:cs="HelveticaNeue-Medium"/>
                <w:color w:val="FFFFFF"/>
                <w:sz w:val="22"/>
                <w:szCs w:val="22"/>
              </w:rPr>
              <w:t>reporting</w:t>
            </w:r>
          </w:p>
        </w:tc>
      </w:tr>
      <w:tr w:rsidR="004B46FC" w:rsidRPr="000018DA" w14:paraId="6E7A511E" w14:textId="77777777" w:rsidTr="00CA4E1C">
        <w:trPr>
          <w:trHeight w:val="227"/>
        </w:trPr>
        <w:tc>
          <w:tcPr>
            <w:tcW w:w="8789" w:type="dxa"/>
            <w:tcBorders>
              <w:bottom w:val="single" w:sz="4" w:space="0" w:color="auto"/>
            </w:tcBorders>
            <w:shd w:val="clear" w:color="auto" w:fill="auto"/>
            <w:tcMar>
              <w:top w:w="113" w:type="dxa"/>
              <w:left w:w="113" w:type="dxa"/>
              <w:bottom w:w="113" w:type="dxa"/>
              <w:right w:w="113" w:type="dxa"/>
            </w:tcMar>
            <w:vAlign w:val="center"/>
          </w:tcPr>
          <w:p w14:paraId="6E7A511D" w14:textId="77777777" w:rsidR="004B46FC" w:rsidRPr="000018DA" w:rsidRDefault="004B46FC" w:rsidP="00C96564">
            <w:pPr>
              <w:pStyle w:val="Body"/>
              <w:spacing w:before="0" w:line="240" w:lineRule="auto"/>
              <w:rPr>
                <w:rFonts w:ascii="Arial" w:hAnsi="Arial" w:cs="HelveticaNeue-Medium"/>
                <w:color w:val="FFFFFF"/>
                <w:sz w:val="22"/>
                <w:szCs w:val="22"/>
              </w:rPr>
            </w:pPr>
          </w:p>
        </w:tc>
      </w:tr>
      <w:tr w:rsidR="00C96564" w:rsidRPr="000018DA" w14:paraId="6E7A5129" w14:textId="77777777" w:rsidTr="00CA4E1C">
        <w:trPr>
          <w:trHeight w:val="227"/>
        </w:trPr>
        <w:tc>
          <w:tcPr>
            <w:tcW w:w="878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3" w:type="dxa"/>
              <w:left w:w="113" w:type="dxa"/>
              <w:bottom w:w="113" w:type="dxa"/>
              <w:right w:w="113" w:type="dxa"/>
            </w:tcMar>
            <w:vAlign w:val="center"/>
          </w:tcPr>
          <w:p w14:paraId="6E7A511F" w14:textId="77777777" w:rsidR="00D5103F" w:rsidRDefault="001A63BE" w:rsidP="001A63BE">
            <w:pPr>
              <w:pStyle w:val="Body"/>
              <w:numPr>
                <w:ilvl w:val="0"/>
                <w:numId w:val="7"/>
              </w:numPr>
              <w:spacing w:line="220" w:lineRule="atLeast"/>
              <w:rPr>
                <w:rFonts w:ascii="Arial" w:hAnsi="Arial"/>
              </w:rPr>
            </w:pPr>
            <w:r>
              <w:rPr>
                <w:rFonts w:ascii="Arial" w:hAnsi="Arial"/>
              </w:rPr>
              <w:t>r</w:t>
            </w:r>
            <w:r w:rsidR="00C96564" w:rsidRPr="00D5103F">
              <w:rPr>
                <w:rFonts w:ascii="Arial" w:hAnsi="Arial"/>
              </w:rPr>
              <w:t xml:space="preserve">eview the financial statements and provide advice to the </w:t>
            </w:r>
            <w:r w:rsidR="00DD3802" w:rsidRPr="00CA4E1C">
              <w:rPr>
                <w:rFonts w:ascii="Arial" w:hAnsi="Arial"/>
                <w:color w:val="auto"/>
              </w:rPr>
              <w:t>accountable authority</w:t>
            </w:r>
            <w:r w:rsidR="00C96564" w:rsidRPr="00CA4E1C">
              <w:rPr>
                <w:rFonts w:ascii="Arial" w:hAnsi="Arial"/>
                <w:color w:val="auto"/>
              </w:rPr>
              <w:t>; (including recommend</w:t>
            </w:r>
            <w:r w:rsidR="00642D7F" w:rsidRPr="00CA4E1C">
              <w:rPr>
                <w:rFonts w:ascii="Arial" w:hAnsi="Arial"/>
                <w:color w:val="auto"/>
              </w:rPr>
              <w:t>ing</w:t>
            </w:r>
            <w:r w:rsidR="00C96564" w:rsidRPr="00CA4E1C">
              <w:rPr>
                <w:rFonts w:ascii="Arial" w:hAnsi="Arial"/>
                <w:color w:val="auto"/>
              </w:rPr>
              <w:t xml:space="preserve"> their signing by </w:t>
            </w:r>
            <w:r w:rsidR="00DD3802" w:rsidRPr="00CA4E1C">
              <w:rPr>
                <w:rFonts w:ascii="Arial" w:hAnsi="Arial"/>
                <w:color w:val="auto"/>
              </w:rPr>
              <w:t>the accountable authority.</w:t>
            </w:r>
            <w:r w:rsidR="00186EBA" w:rsidRPr="00CA4E1C">
              <w:rPr>
                <w:rFonts w:ascii="Arial" w:hAnsi="Arial"/>
                <w:color w:val="auto"/>
              </w:rPr>
              <w:t xml:space="preserve"> </w:t>
            </w:r>
            <w:r w:rsidR="00BB4351" w:rsidRPr="00CA4E1C">
              <w:rPr>
                <w:rFonts w:ascii="Arial" w:hAnsi="Arial"/>
                <w:color w:val="auto"/>
              </w:rPr>
              <w:t>In</w:t>
            </w:r>
            <w:r w:rsidR="00BB4351">
              <w:rPr>
                <w:rFonts w:ascii="Arial" w:hAnsi="Arial"/>
              </w:rPr>
              <w:t xml:space="preserve"> particular, t</w:t>
            </w:r>
            <w:r w:rsidR="00186EBA">
              <w:rPr>
                <w:rFonts w:ascii="Arial" w:hAnsi="Arial"/>
              </w:rPr>
              <w:t>he committee will</w:t>
            </w:r>
            <w:r w:rsidR="00BB4351">
              <w:rPr>
                <w:rFonts w:ascii="Arial" w:hAnsi="Arial"/>
              </w:rPr>
              <w:t>:</w:t>
            </w:r>
          </w:p>
          <w:p w14:paraId="6E7A5120" w14:textId="77777777" w:rsidR="00186EBA" w:rsidRDefault="00724960" w:rsidP="00B95438">
            <w:pPr>
              <w:pStyle w:val="Body"/>
              <w:numPr>
                <w:ilvl w:val="0"/>
                <w:numId w:val="4"/>
              </w:numPr>
              <w:spacing w:line="220" w:lineRule="atLeast"/>
              <w:rPr>
                <w:rFonts w:ascii="Arial" w:hAnsi="Arial"/>
              </w:rPr>
            </w:pPr>
            <w:r>
              <w:rPr>
                <w:rFonts w:ascii="Arial" w:hAnsi="Arial"/>
              </w:rPr>
              <w:t xml:space="preserve">assess </w:t>
            </w:r>
            <w:r w:rsidRPr="00724960">
              <w:rPr>
                <w:rFonts w:ascii="Arial" w:hAnsi="Arial"/>
                <w:color w:val="auto"/>
              </w:rPr>
              <w:t xml:space="preserve">Tiwi Land Council’s </w:t>
            </w:r>
            <w:r w:rsidR="00B95438">
              <w:rPr>
                <w:rFonts w:ascii="Arial" w:hAnsi="Arial"/>
              </w:rPr>
              <w:t xml:space="preserve">compliance with accounting standards, including an assessment of the appropriateness of accounting policies and disclosures </w:t>
            </w:r>
          </w:p>
          <w:p w14:paraId="6E7A5121" w14:textId="77777777" w:rsidR="00B95438" w:rsidRDefault="00BB4351" w:rsidP="00B95438">
            <w:pPr>
              <w:pStyle w:val="Body"/>
              <w:numPr>
                <w:ilvl w:val="0"/>
                <w:numId w:val="4"/>
              </w:numPr>
              <w:spacing w:line="220" w:lineRule="atLeast"/>
              <w:rPr>
                <w:rFonts w:ascii="Arial" w:hAnsi="Arial"/>
              </w:rPr>
            </w:pPr>
            <w:r>
              <w:rPr>
                <w:rFonts w:ascii="Arial" w:hAnsi="Arial"/>
              </w:rPr>
              <w:t xml:space="preserve">assess </w:t>
            </w:r>
            <w:r w:rsidR="00B95438">
              <w:rPr>
                <w:rFonts w:ascii="Arial" w:hAnsi="Arial"/>
              </w:rPr>
              <w:t>areas of significant judgement and financial statement balances that require estimation</w:t>
            </w:r>
          </w:p>
          <w:p w14:paraId="6E7A5122" w14:textId="77777777" w:rsidR="00B95438" w:rsidRDefault="00BB4351" w:rsidP="00B95438">
            <w:pPr>
              <w:pStyle w:val="Body"/>
              <w:numPr>
                <w:ilvl w:val="0"/>
                <w:numId w:val="4"/>
              </w:numPr>
              <w:spacing w:line="220" w:lineRule="atLeast"/>
              <w:rPr>
                <w:rFonts w:ascii="Arial" w:hAnsi="Arial"/>
              </w:rPr>
            </w:pPr>
            <w:r>
              <w:rPr>
                <w:rFonts w:ascii="Arial" w:hAnsi="Arial"/>
              </w:rPr>
              <w:t xml:space="preserve">assess </w:t>
            </w:r>
            <w:r w:rsidR="00B95438">
              <w:rPr>
                <w:rFonts w:ascii="Arial" w:hAnsi="Arial"/>
              </w:rPr>
              <w:t xml:space="preserve">any significant changes to accounting policies and practices, </w:t>
            </w:r>
            <w:r w:rsidR="004B46FC">
              <w:rPr>
                <w:rFonts w:ascii="Arial" w:hAnsi="Arial"/>
              </w:rPr>
              <w:t>(</w:t>
            </w:r>
            <w:r>
              <w:rPr>
                <w:rFonts w:ascii="Arial" w:hAnsi="Arial"/>
              </w:rPr>
              <w:t>by May each year)</w:t>
            </w:r>
          </w:p>
          <w:p w14:paraId="6E7A5123" w14:textId="77777777" w:rsidR="00315F8F" w:rsidRDefault="00315F8F" w:rsidP="00315F8F">
            <w:pPr>
              <w:pStyle w:val="Body"/>
              <w:numPr>
                <w:ilvl w:val="0"/>
                <w:numId w:val="4"/>
              </w:numPr>
              <w:spacing w:line="220" w:lineRule="atLeast"/>
              <w:rPr>
                <w:rFonts w:ascii="Arial" w:hAnsi="Arial"/>
              </w:rPr>
            </w:pPr>
            <w:r>
              <w:rPr>
                <w:rFonts w:ascii="Arial" w:hAnsi="Arial"/>
              </w:rPr>
              <w:t>review significant or unusual transactions</w:t>
            </w:r>
            <w:r w:rsidR="001E1FBF">
              <w:rPr>
                <w:rFonts w:ascii="Arial" w:hAnsi="Arial"/>
              </w:rPr>
              <w:t>,</w:t>
            </w:r>
            <w:r>
              <w:rPr>
                <w:rFonts w:ascii="Arial" w:hAnsi="Arial"/>
              </w:rPr>
              <w:t xml:space="preserve"> not covered by b) or c) above </w:t>
            </w:r>
          </w:p>
          <w:p w14:paraId="6E7A5124" w14:textId="77777777" w:rsidR="00B95438" w:rsidRDefault="00B95438" w:rsidP="00B95438">
            <w:pPr>
              <w:pStyle w:val="Body"/>
              <w:numPr>
                <w:ilvl w:val="0"/>
                <w:numId w:val="4"/>
              </w:numPr>
              <w:spacing w:line="220" w:lineRule="atLeast"/>
              <w:rPr>
                <w:rFonts w:ascii="Arial" w:hAnsi="Arial"/>
              </w:rPr>
            </w:pPr>
            <w:r>
              <w:rPr>
                <w:rFonts w:ascii="Arial" w:hAnsi="Arial"/>
              </w:rPr>
              <w:lastRenderedPageBreak/>
              <w:t xml:space="preserve"> </w:t>
            </w:r>
            <w:r w:rsidR="006172E2">
              <w:rPr>
                <w:rFonts w:ascii="Arial" w:hAnsi="Arial"/>
              </w:rPr>
              <w:t xml:space="preserve">assess </w:t>
            </w:r>
            <w:r w:rsidRPr="00D5103F">
              <w:rPr>
                <w:rFonts w:ascii="Arial" w:hAnsi="Arial"/>
              </w:rPr>
              <w:t xml:space="preserve">whether appropriate </w:t>
            </w:r>
            <w:r>
              <w:rPr>
                <w:rFonts w:ascii="Arial" w:hAnsi="Arial"/>
              </w:rPr>
              <w:t xml:space="preserve">management </w:t>
            </w:r>
            <w:r w:rsidRPr="00D5103F">
              <w:rPr>
                <w:rFonts w:ascii="Arial" w:hAnsi="Arial"/>
              </w:rPr>
              <w:t>action has been taken in response to</w:t>
            </w:r>
            <w:r>
              <w:rPr>
                <w:rFonts w:ascii="Arial" w:hAnsi="Arial"/>
              </w:rPr>
              <w:t xml:space="preserve"> any issues raised by </w:t>
            </w:r>
            <w:r w:rsidR="005F12D4">
              <w:rPr>
                <w:rFonts w:ascii="Arial" w:hAnsi="Arial"/>
              </w:rPr>
              <w:t>the ANAO</w:t>
            </w:r>
            <w:r>
              <w:rPr>
                <w:rFonts w:ascii="Arial" w:hAnsi="Arial"/>
              </w:rPr>
              <w:t>,</w:t>
            </w:r>
            <w:r w:rsidRPr="00D5103F">
              <w:rPr>
                <w:rFonts w:ascii="Arial" w:hAnsi="Arial"/>
              </w:rPr>
              <w:t xml:space="preserve"> </w:t>
            </w:r>
            <w:r>
              <w:rPr>
                <w:rFonts w:ascii="Arial" w:hAnsi="Arial"/>
              </w:rPr>
              <w:t>including financial statement</w:t>
            </w:r>
            <w:r w:rsidRPr="00D5103F">
              <w:rPr>
                <w:rFonts w:ascii="Arial" w:hAnsi="Arial"/>
              </w:rPr>
              <w:t xml:space="preserve"> adjustments</w:t>
            </w:r>
            <w:r>
              <w:rPr>
                <w:rFonts w:ascii="Arial" w:hAnsi="Arial"/>
              </w:rPr>
              <w:t xml:space="preserve"> or revise</w:t>
            </w:r>
            <w:r w:rsidR="001A63BE">
              <w:rPr>
                <w:rFonts w:ascii="Arial" w:hAnsi="Arial"/>
              </w:rPr>
              <w:t>d disclosures</w:t>
            </w:r>
            <w:r w:rsidR="006172E2">
              <w:rPr>
                <w:rFonts w:ascii="Arial" w:hAnsi="Arial"/>
              </w:rPr>
              <w:t>.</w:t>
            </w:r>
          </w:p>
          <w:p w14:paraId="6E7A5125" w14:textId="77777777" w:rsidR="00C96564" w:rsidRDefault="001A63BE" w:rsidP="00CA4E1C">
            <w:pPr>
              <w:pStyle w:val="Body"/>
              <w:numPr>
                <w:ilvl w:val="0"/>
                <w:numId w:val="7"/>
              </w:numPr>
              <w:spacing w:line="220" w:lineRule="atLeast"/>
              <w:rPr>
                <w:rFonts w:ascii="Arial" w:hAnsi="Arial"/>
              </w:rPr>
            </w:pPr>
            <w:r>
              <w:rPr>
                <w:rFonts w:ascii="Arial" w:hAnsi="Arial"/>
              </w:rPr>
              <w:t>r</w:t>
            </w:r>
            <w:r w:rsidR="00C96564" w:rsidRPr="00D5103F">
              <w:rPr>
                <w:rFonts w:ascii="Arial" w:hAnsi="Arial"/>
              </w:rPr>
              <w:t xml:space="preserve">eview the processes in place designed to ensure that financial information included in </w:t>
            </w:r>
            <w:r w:rsidR="00CA4E1C">
              <w:rPr>
                <w:rFonts w:ascii="Arial" w:hAnsi="Arial"/>
              </w:rPr>
              <w:t>the Tiwi Land Council’s</w:t>
            </w:r>
            <w:r w:rsidR="00C96564" w:rsidRPr="000018DA">
              <w:rPr>
                <w:rFonts w:ascii="Arial" w:hAnsi="Arial"/>
              </w:rPr>
              <w:t xml:space="preserve"> annual report is consistent with the signed financial statements</w:t>
            </w:r>
            <w:r w:rsidR="00315F8F">
              <w:rPr>
                <w:rFonts w:ascii="Arial" w:hAnsi="Arial"/>
              </w:rPr>
              <w:t xml:space="preserve"> </w:t>
            </w:r>
          </w:p>
          <w:p w14:paraId="6E7A5126" w14:textId="77777777" w:rsidR="007411EC" w:rsidRDefault="007411EC" w:rsidP="007411EC">
            <w:pPr>
              <w:pStyle w:val="Body"/>
              <w:spacing w:line="220" w:lineRule="atLeast"/>
              <w:ind w:left="360"/>
              <w:rPr>
                <w:rFonts w:ascii="Arial" w:hAnsi="Arial"/>
              </w:rPr>
            </w:pPr>
          </w:p>
          <w:p w14:paraId="6E7A5127" w14:textId="77777777" w:rsidR="006172E2" w:rsidRDefault="008565A6" w:rsidP="006172E2">
            <w:pPr>
              <w:pStyle w:val="Body"/>
              <w:numPr>
                <w:ilvl w:val="0"/>
                <w:numId w:val="7"/>
              </w:numPr>
              <w:spacing w:before="0" w:after="240" w:line="240" w:lineRule="auto"/>
              <w:rPr>
                <w:rFonts w:ascii="Arial" w:hAnsi="Arial"/>
              </w:rPr>
            </w:pPr>
            <w:r>
              <w:rPr>
                <w:rFonts w:ascii="Arial" w:hAnsi="Arial"/>
              </w:rPr>
              <w:t>m</w:t>
            </w:r>
            <w:r w:rsidR="006172E2">
              <w:rPr>
                <w:rFonts w:ascii="Arial" w:hAnsi="Arial"/>
              </w:rPr>
              <w:t xml:space="preserve">onitor the standard of financial information provided to the </w:t>
            </w:r>
            <w:r w:rsidR="00DD3802" w:rsidRPr="00CA4E1C">
              <w:rPr>
                <w:rFonts w:ascii="Arial" w:hAnsi="Arial"/>
                <w:color w:val="auto"/>
              </w:rPr>
              <w:t>accountable authority</w:t>
            </w:r>
            <w:r w:rsidR="00B2505F">
              <w:rPr>
                <w:rFonts w:ascii="Arial" w:hAnsi="Arial"/>
              </w:rPr>
              <w:t xml:space="preserve">, and </w:t>
            </w:r>
          </w:p>
          <w:p w14:paraId="6E7A5128" w14:textId="77777777" w:rsidR="003F29D9" w:rsidRDefault="008565A6" w:rsidP="00CA4E1C">
            <w:pPr>
              <w:pStyle w:val="Body"/>
              <w:numPr>
                <w:ilvl w:val="0"/>
                <w:numId w:val="7"/>
              </w:numPr>
              <w:spacing w:before="0" w:after="240" w:line="240" w:lineRule="auto"/>
              <w:rPr>
                <w:rFonts w:ascii="Arial" w:hAnsi="Arial" w:cs="HelveticaNeue-Medium"/>
                <w:color w:val="FFFFFF"/>
                <w:sz w:val="22"/>
                <w:szCs w:val="22"/>
              </w:rPr>
            </w:pPr>
            <w:r>
              <w:rPr>
                <w:rFonts w:ascii="Arial" w:hAnsi="Arial"/>
              </w:rPr>
              <w:t>d</w:t>
            </w:r>
            <w:r w:rsidR="006172E2">
              <w:rPr>
                <w:rFonts w:ascii="Arial" w:hAnsi="Arial"/>
              </w:rPr>
              <w:t xml:space="preserve">iscuss with the </w:t>
            </w:r>
            <w:r w:rsidR="005F12D4">
              <w:rPr>
                <w:rFonts w:ascii="Arial" w:hAnsi="Arial"/>
              </w:rPr>
              <w:t>ANAO</w:t>
            </w:r>
            <w:r w:rsidR="006172E2">
              <w:rPr>
                <w:rFonts w:ascii="Arial" w:hAnsi="Arial"/>
              </w:rPr>
              <w:t xml:space="preserve"> the auditor’s judgm</w:t>
            </w:r>
            <w:r w:rsidR="00CA4E1C">
              <w:rPr>
                <w:rFonts w:ascii="Arial" w:hAnsi="Arial"/>
              </w:rPr>
              <w:t>ents about the adequacy of the Tiwi Land Council’s</w:t>
            </w:r>
            <w:r w:rsidR="006172E2">
              <w:rPr>
                <w:rFonts w:ascii="Arial" w:hAnsi="Arial"/>
              </w:rPr>
              <w:t xml:space="preserve"> accounting policies and the quality of </w:t>
            </w:r>
            <w:r w:rsidR="00CA4E1C">
              <w:rPr>
                <w:rFonts w:ascii="Arial" w:hAnsi="Arial"/>
              </w:rPr>
              <w:t>Tiwi Land Council’s</w:t>
            </w:r>
            <w:r w:rsidR="006172E2">
              <w:rPr>
                <w:rFonts w:ascii="Arial" w:hAnsi="Arial"/>
              </w:rPr>
              <w:t xml:space="preserve"> processes for the preparation of the </w:t>
            </w:r>
            <w:r w:rsidR="00CA4E1C">
              <w:rPr>
                <w:rFonts w:ascii="Arial" w:hAnsi="Arial"/>
              </w:rPr>
              <w:t>Tiwi Land Council’s</w:t>
            </w:r>
            <w:r w:rsidR="006172E2">
              <w:rPr>
                <w:rFonts w:ascii="Arial" w:hAnsi="Arial"/>
              </w:rPr>
              <w:t xml:space="preserve"> financial statements</w:t>
            </w:r>
            <w:r w:rsidR="00B2505F">
              <w:rPr>
                <w:rFonts w:ascii="Arial" w:hAnsi="Arial"/>
              </w:rPr>
              <w:t xml:space="preserve">. </w:t>
            </w:r>
          </w:p>
        </w:tc>
      </w:tr>
      <w:tr w:rsidR="003F29D9" w:rsidRPr="000018DA" w14:paraId="6E7A512B" w14:textId="77777777" w:rsidTr="00CA4E1C">
        <w:trPr>
          <w:trHeight w:val="222"/>
        </w:trPr>
        <w:tc>
          <w:tcPr>
            <w:tcW w:w="8789" w:type="dxa"/>
            <w:tcBorders>
              <w:top w:val="single" w:sz="4" w:space="0" w:color="auto"/>
            </w:tcBorders>
            <w:shd w:val="clear" w:color="auto" w:fill="auto"/>
            <w:tcMar>
              <w:top w:w="113" w:type="dxa"/>
              <w:left w:w="113" w:type="dxa"/>
              <w:bottom w:w="113" w:type="dxa"/>
              <w:right w:w="113" w:type="dxa"/>
            </w:tcMar>
            <w:vAlign w:val="center"/>
          </w:tcPr>
          <w:p w14:paraId="6E7A512A" w14:textId="77777777" w:rsidR="00B77B80" w:rsidRDefault="00B77B80" w:rsidP="000E7A44">
            <w:pPr>
              <w:pStyle w:val="Body"/>
              <w:spacing w:line="220" w:lineRule="atLeast"/>
              <w:rPr>
                <w:rFonts w:ascii="Arial" w:hAnsi="Arial"/>
              </w:rPr>
            </w:pPr>
          </w:p>
        </w:tc>
      </w:tr>
      <w:tr w:rsidR="00EC1333" w:rsidRPr="000018DA" w14:paraId="6E7A512D" w14:textId="77777777" w:rsidTr="00CA4E1C">
        <w:trPr>
          <w:trHeight w:val="227"/>
        </w:trPr>
        <w:tc>
          <w:tcPr>
            <w:tcW w:w="8789" w:type="dxa"/>
            <w:shd w:val="clear" w:color="auto" w:fill="0070C0"/>
            <w:tcMar>
              <w:top w:w="113" w:type="dxa"/>
              <w:left w:w="113" w:type="dxa"/>
              <w:bottom w:w="113" w:type="dxa"/>
              <w:right w:w="113" w:type="dxa"/>
            </w:tcMar>
            <w:vAlign w:val="center"/>
          </w:tcPr>
          <w:p w14:paraId="6E7A512C" w14:textId="77777777" w:rsidR="00EC1333" w:rsidRDefault="00EC1333" w:rsidP="00C96564">
            <w:pPr>
              <w:pStyle w:val="Body"/>
              <w:spacing w:before="0" w:line="240" w:lineRule="auto"/>
              <w:rPr>
                <w:rFonts w:ascii="Arial" w:hAnsi="Arial" w:cs="HelveticaNeue-Medium"/>
                <w:color w:val="FFFFFF"/>
                <w:sz w:val="22"/>
                <w:szCs w:val="22"/>
              </w:rPr>
            </w:pPr>
            <w:r w:rsidRPr="00C96564">
              <w:rPr>
                <w:rFonts w:ascii="Arial" w:hAnsi="Arial" w:cs="HelveticaNeue-Medium"/>
                <w:color w:val="FFFFFF"/>
                <w:sz w:val="22"/>
                <w:szCs w:val="22"/>
              </w:rPr>
              <w:t>Performance reporting</w:t>
            </w:r>
          </w:p>
        </w:tc>
      </w:tr>
      <w:tr w:rsidR="004B46FC" w:rsidRPr="000018DA" w14:paraId="6E7A512F" w14:textId="77777777" w:rsidTr="00CA4E1C">
        <w:trPr>
          <w:trHeight w:val="227"/>
        </w:trPr>
        <w:tc>
          <w:tcPr>
            <w:tcW w:w="8789" w:type="dxa"/>
            <w:tcBorders>
              <w:bottom w:val="single" w:sz="4" w:space="0" w:color="auto"/>
            </w:tcBorders>
            <w:shd w:val="clear" w:color="auto" w:fill="auto"/>
            <w:tcMar>
              <w:top w:w="113" w:type="dxa"/>
              <w:left w:w="113" w:type="dxa"/>
              <w:bottom w:w="113" w:type="dxa"/>
              <w:right w:w="113" w:type="dxa"/>
            </w:tcMar>
            <w:vAlign w:val="center"/>
          </w:tcPr>
          <w:p w14:paraId="6E7A512E" w14:textId="77777777" w:rsidR="004B46FC" w:rsidRPr="00C96564" w:rsidRDefault="004B46FC" w:rsidP="00C96564">
            <w:pPr>
              <w:pStyle w:val="Body"/>
              <w:spacing w:before="0" w:line="240" w:lineRule="auto"/>
              <w:rPr>
                <w:rFonts w:ascii="Arial" w:hAnsi="Arial" w:cs="HelveticaNeue-Medium"/>
                <w:color w:val="FFFFFF"/>
                <w:sz w:val="22"/>
                <w:szCs w:val="22"/>
              </w:rPr>
            </w:pPr>
          </w:p>
        </w:tc>
      </w:tr>
      <w:tr w:rsidR="00EC1333" w:rsidRPr="000018DA" w14:paraId="6E7A5134" w14:textId="77777777" w:rsidTr="00CA4E1C">
        <w:trPr>
          <w:trHeight w:val="227"/>
        </w:trPr>
        <w:tc>
          <w:tcPr>
            <w:tcW w:w="878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3" w:type="dxa"/>
              <w:left w:w="113" w:type="dxa"/>
              <w:bottom w:w="113" w:type="dxa"/>
              <w:right w:w="113" w:type="dxa"/>
            </w:tcMar>
            <w:vAlign w:val="center"/>
          </w:tcPr>
          <w:p w14:paraId="6E7A5130" w14:textId="77777777" w:rsidR="00EC1333" w:rsidRDefault="001E1FBF" w:rsidP="001A63BE">
            <w:pPr>
              <w:pStyle w:val="Body"/>
              <w:numPr>
                <w:ilvl w:val="0"/>
                <w:numId w:val="7"/>
              </w:numPr>
              <w:spacing w:before="142" w:line="120" w:lineRule="atLeast"/>
              <w:rPr>
                <w:rFonts w:ascii="Arial" w:hAnsi="Arial"/>
              </w:rPr>
            </w:pPr>
            <w:r>
              <w:rPr>
                <w:rFonts w:ascii="Arial" w:hAnsi="Arial"/>
              </w:rPr>
              <w:t xml:space="preserve">consider any issues relating to the </w:t>
            </w:r>
            <w:r w:rsidR="00CA4E1C">
              <w:rPr>
                <w:rFonts w:ascii="Arial" w:hAnsi="Arial"/>
              </w:rPr>
              <w:t>Tiwi Land Council’s</w:t>
            </w:r>
            <w:r>
              <w:rPr>
                <w:rFonts w:ascii="Arial" w:hAnsi="Arial"/>
              </w:rPr>
              <w:t xml:space="preserve"> performance that the committee considers warrant </w:t>
            </w:r>
            <w:proofErr w:type="gramStart"/>
            <w:r>
              <w:rPr>
                <w:rFonts w:ascii="Arial" w:hAnsi="Arial"/>
              </w:rPr>
              <w:t>review, or</w:t>
            </w:r>
            <w:proofErr w:type="gramEnd"/>
            <w:r>
              <w:rPr>
                <w:rFonts w:ascii="Arial" w:hAnsi="Arial"/>
              </w:rPr>
              <w:t xml:space="preserve"> are referred to the committee by</w:t>
            </w:r>
            <w:r w:rsidRPr="00CA4E1C">
              <w:rPr>
                <w:rFonts w:ascii="Arial" w:hAnsi="Arial"/>
                <w:color w:val="auto"/>
              </w:rPr>
              <w:t xml:space="preserve"> the accountable authority</w:t>
            </w:r>
            <w:r w:rsidR="00CA4E1C" w:rsidRPr="00CA4E1C">
              <w:rPr>
                <w:rFonts w:ascii="Arial" w:hAnsi="Arial"/>
                <w:color w:val="auto"/>
              </w:rPr>
              <w:t>.</w:t>
            </w:r>
            <w:r w:rsidRPr="00CA4E1C">
              <w:rPr>
                <w:rFonts w:ascii="Arial" w:hAnsi="Arial"/>
                <w:color w:val="auto"/>
              </w:rPr>
              <w:t xml:space="preserve"> </w:t>
            </w:r>
          </w:p>
          <w:p w14:paraId="6E7A5131" w14:textId="77777777" w:rsidR="006172E2" w:rsidRPr="001E1FBF" w:rsidRDefault="006172E2" w:rsidP="001A63BE">
            <w:pPr>
              <w:pStyle w:val="Body"/>
              <w:numPr>
                <w:ilvl w:val="0"/>
                <w:numId w:val="7"/>
              </w:numPr>
              <w:spacing w:before="142" w:line="120" w:lineRule="atLeast"/>
              <w:rPr>
                <w:rFonts w:ascii="Arial" w:hAnsi="Arial"/>
              </w:rPr>
            </w:pPr>
            <w:r>
              <w:rPr>
                <w:rFonts w:ascii="Arial" w:hAnsi="Arial"/>
              </w:rPr>
              <w:t xml:space="preserve">monitor the standard of non-financial performance information provided to the </w:t>
            </w:r>
            <w:r w:rsidR="00CA4E1C">
              <w:rPr>
                <w:rFonts w:ascii="Arial" w:hAnsi="Arial"/>
                <w:color w:val="auto"/>
              </w:rPr>
              <w:t>accountable authority.</w:t>
            </w:r>
          </w:p>
          <w:p w14:paraId="6E7A5132" w14:textId="77777777" w:rsidR="001E1FBF" w:rsidRDefault="001E1FBF" w:rsidP="001A63BE">
            <w:pPr>
              <w:pStyle w:val="Body"/>
              <w:numPr>
                <w:ilvl w:val="0"/>
                <w:numId w:val="7"/>
              </w:numPr>
              <w:spacing w:before="142" w:line="120" w:lineRule="atLeast"/>
              <w:rPr>
                <w:rFonts w:ascii="Arial" w:hAnsi="Arial"/>
              </w:rPr>
            </w:pPr>
            <w:r w:rsidRPr="001E1FBF">
              <w:rPr>
                <w:rFonts w:ascii="Arial" w:hAnsi="Arial"/>
                <w:color w:val="auto"/>
              </w:rPr>
              <w:t xml:space="preserve">review the proposed </w:t>
            </w:r>
            <w:r w:rsidRPr="00CA4E1C">
              <w:rPr>
                <w:rFonts w:ascii="Arial" w:hAnsi="Arial"/>
                <w:color w:val="auto"/>
              </w:rPr>
              <w:t>reporting of</w:t>
            </w:r>
            <w:r w:rsidR="00CA4E1C" w:rsidRPr="00CA4E1C">
              <w:rPr>
                <w:rFonts w:ascii="Arial" w:hAnsi="Arial"/>
                <w:color w:val="auto"/>
              </w:rPr>
              <w:t xml:space="preserve"> the Tiwi Land Council’s</w:t>
            </w:r>
            <w:r w:rsidRPr="00CA4E1C">
              <w:rPr>
                <w:rFonts w:ascii="Arial" w:hAnsi="Arial"/>
                <w:color w:val="auto"/>
              </w:rPr>
              <w:t xml:space="preserve"> performance to ensure that the information is </w:t>
            </w:r>
            <w:proofErr w:type="gramStart"/>
            <w:r w:rsidR="00B77B80" w:rsidRPr="00CA4E1C">
              <w:rPr>
                <w:rFonts w:ascii="Arial" w:hAnsi="Arial"/>
                <w:color w:val="auto"/>
              </w:rPr>
              <w:t xml:space="preserve">consistent </w:t>
            </w:r>
            <w:r w:rsidRPr="00CA4E1C">
              <w:rPr>
                <w:rFonts w:ascii="Arial" w:hAnsi="Arial"/>
                <w:color w:val="auto"/>
              </w:rPr>
              <w:t xml:space="preserve"> with</w:t>
            </w:r>
            <w:proofErr w:type="gramEnd"/>
            <w:r w:rsidRPr="00CA4E1C">
              <w:rPr>
                <w:rFonts w:ascii="Arial" w:hAnsi="Arial"/>
                <w:color w:val="auto"/>
              </w:rPr>
              <w:t xml:space="preserve"> </w:t>
            </w:r>
            <w:r w:rsidR="00CA4E1C" w:rsidRPr="00CA4E1C">
              <w:rPr>
                <w:rFonts w:ascii="Arial" w:hAnsi="Arial"/>
                <w:color w:val="auto"/>
              </w:rPr>
              <w:t>the Tiwi Land Council’s</w:t>
            </w:r>
            <w:r w:rsidRPr="00CA4E1C">
              <w:rPr>
                <w:rFonts w:ascii="Arial" w:hAnsi="Arial"/>
                <w:color w:val="auto"/>
              </w:rPr>
              <w:t xml:space="preserve"> reported financial </w:t>
            </w:r>
            <w:r>
              <w:rPr>
                <w:rFonts w:ascii="Arial" w:hAnsi="Arial"/>
                <w:color w:val="auto"/>
              </w:rPr>
              <w:t>information</w:t>
            </w:r>
            <w:r w:rsidR="004B46FC">
              <w:rPr>
                <w:rFonts w:ascii="Arial" w:hAnsi="Arial"/>
                <w:color w:val="auto"/>
              </w:rPr>
              <w:t>.</w:t>
            </w:r>
          </w:p>
          <w:p w14:paraId="6E7A5133" w14:textId="77777777" w:rsidR="003F29D9" w:rsidRPr="000E7A44" w:rsidRDefault="002B363E" w:rsidP="00B77B80">
            <w:pPr>
              <w:pStyle w:val="Body"/>
              <w:spacing w:before="142" w:after="240" w:line="120" w:lineRule="atLeast"/>
              <w:rPr>
                <w:rFonts w:ascii="Arial" w:hAnsi="Arial"/>
                <w:sz w:val="18"/>
                <w:szCs w:val="18"/>
              </w:rPr>
            </w:pPr>
            <w:r w:rsidRPr="000E7A44">
              <w:rPr>
                <w:rFonts w:ascii="Arial" w:hAnsi="Arial"/>
                <w:sz w:val="18"/>
                <w:szCs w:val="18"/>
                <w:u w:val="single"/>
              </w:rPr>
              <w:t>Note</w:t>
            </w:r>
            <w:r w:rsidRPr="000E7A44">
              <w:rPr>
                <w:rFonts w:ascii="Arial" w:hAnsi="Arial"/>
                <w:sz w:val="18"/>
                <w:szCs w:val="18"/>
              </w:rPr>
              <w:t xml:space="preserve">: </w:t>
            </w:r>
            <w:r w:rsidR="00B77B80">
              <w:rPr>
                <w:rFonts w:ascii="Arial" w:hAnsi="Arial"/>
                <w:sz w:val="18"/>
                <w:szCs w:val="18"/>
              </w:rPr>
              <w:t>T</w:t>
            </w:r>
            <w:r w:rsidRPr="000E7A44">
              <w:rPr>
                <w:rFonts w:ascii="Arial" w:hAnsi="Arial"/>
                <w:sz w:val="18"/>
                <w:szCs w:val="18"/>
              </w:rPr>
              <w:t xml:space="preserve">he requirement for entities to prepare performance </w:t>
            </w:r>
            <w:r w:rsidR="00B2505F" w:rsidRPr="000E7A44">
              <w:rPr>
                <w:rFonts w:ascii="Arial" w:hAnsi="Arial"/>
                <w:sz w:val="18"/>
                <w:szCs w:val="18"/>
              </w:rPr>
              <w:t xml:space="preserve">statements in accordance with section 39 of the </w:t>
            </w:r>
            <w:r w:rsidR="00B2505F" w:rsidRPr="00B2505F">
              <w:rPr>
                <w:rFonts w:ascii="Arial" w:hAnsi="Arial"/>
                <w:sz w:val="18"/>
                <w:szCs w:val="18"/>
              </w:rPr>
              <w:t>PGPA Act appl</w:t>
            </w:r>
            <w:r w:rsidR="00B77B80">
              <w:rPr>
                <w:rFonts w:ascii="Arial" w:hAnsi="Arial"/>
                <w:sz w:val="18"/>
                <w:szCs w:val="18"/>
              </w:rPr>
              <w:t>ies</w:t>
            </w:r>
            <w:r w:rsidRPr="00B2505F">
              <w:rPr>
                <w:rFonts w:ascii="Arial" w:hAnsi="Arial"/>
                <w:sz w:val="18"/>
                <w:szCs w:val="18"/>
              </w:rPr>
              <w:t xml:space="preserve"> from 2015–16</w:t>
            </w:r>
            <w:r w:rsidR="00B2505F">
              <w:rPr>
                <w:rFonts w:ascii="Arial" w:hAnsi="Arial"/>
                <w:sz w:val="18"/>
                <w:szCs w:val="18"/>
              </w:rPr>
              <w:t xml:space="preserve"> and</w:t>
            </w:r>
            <w:r w:rsidR="00B77B80">
              <w:rPr>
                <w:rFonts w:ascii="Arial" w:hAnsi="Arial"/>
                <w:sz w:val="18"/>
                <w:szCs w:val="18"/>
              </w:rPr>
              <w:t>,</w:t>
            </w:r>
            <w:r w:rsidR="00B2505F">
              <w:rPr>
                <w:rFonts w:ascii="Arial" w:hAnsi="Arial"/>
                <w:sz w:val="18"/>
                <w:szCs w:val="18"/>
              </w:rPr>
              <w:t xml:space="preserve"> as </w:t>
            </w:r>
            <w:r w:rsidR="00B77B80">
              <w:rPr>
                <w:rFonts w:ascii="Arial" w:hAnsi="Arial"/>
                <w:sz w:val="18"/>
                <w:szCs w:val="18"/>
              </w:rPr>
              <w:t>such,</w:t>
            </w:r>
            <w:r w:rsidR="00B2505F">
              <w:rPr>
                <w:rFonts w:ascii="Arial" w:hAnsi="Arial"/>
                <w:sz w:val="18"/>
                <w:szCs w:val="18"/>
              </w:rPr>
              <w:t xml:space="preserve"> the audit committee’s responsibilities in relation to performance </w:t>
            </w:r>
            <w:r w:rsidR="00B2505F" w:rsidRPr="001E1FBF">
              <w:rPr>
                <w:rFonts w:ascii="Arial" w:hAnsi="Arial"/>
                <w:sz w:val="18"/>
                <w:szCs w:val="18"/>
              </w:rPr>
              <w:t>reporting should be reviewed at that time.</w:t>
            </w:r>
          </w:p>
        </w:tc>
      </w:tr>
      <w:tr w:rsidR="006940E1" w:rsidRPr="000018DA" w14:paraId="6E7A5136" w14:textId="77777777" w:rsidTr="00CA4E1C">
        <w:trPr>
          <w:trHeight w:val="227"/>
        </w:trPr>
        <w:tc>
          <w:tcPr>
            <w:tcW w:w="8789" w:type="dxa"/>
            <w:tcBorders>
              <w:top w:val="single" w:sz="4" w:space="0" w:color="auto"/>
            </w:tcBorders>
            <w:shd w:val="clear" w:color="auto" w:fill="auto"/>
            <w:tcMar>
              <w:top w:w="113" w:type="dxa"/>
              <w:left w:w="113" w:type="dxa"/>
              <w:bottom w:w="113" w:type="dxa"/>
              <w:right w:w="113" w:type="dxa"/>
            </w:tcMar>
            <w:vAlign w:val="center"/>
          </w:tcPr>
          <w:p w14:paraId="6E7A5135" w14:textId="77777777" w:rsidR="006940E1" w:rsidRPr="00C10F34" w:rsidRDefault="006940E1" w:rsidP="008565A6">
            <w:pPr>
              <w:pStyle w:val="Body"/>
              <w:spacing w:before="142" w:line="120" w:lineRule="atLeast"/>
              <w:rPr>
                <w:rFonts w:ascii="Arial" w:hAnsi="Arial"/>
                <w:color w:val="auto"/>
              </w:rPr>
            </w:pPr>
          </w:p>
        </w:tc>
      </w:tr>
      <w:tr w:rsidR="003D3719" w:rsidRPr="000018DA" w14:paraId="6E7A5138" w14:textId="77777777" w:rsidTr="00CA4E1C">
        <w:trPr>
          <w:trHeight w:val="227"/>
        </w:trPr>
        <w:tc>
          <w:tcPr>
            <w:tcW w:w="8789" w:type="dxa"/>
            <w:shd w:val="solid" w:color="007AC3" w:fill="auto"/>
            <w:tcMar>
              <w:top w:w="113" w:type="dxa"/>
              <w:left w:w="113" w:type="dxa"/>
              <w:bottom w:w="113" w:type="dxa"/>
              <w:right w:w="113" w:type="dxa"/>
            </w:tcMar>
            <w:vAlign w:val="center"/>
          </w:tcPr>
          <w:p w14:paraId="6E7A5137" w14:textId="77777777" w:rsidR="003D3719" w:rsidRPr="000018DA" w:rsidRDefault="00C96564" w:rsidP="00AC525D">
            <w:pPr>
              <w:pStyle w:val="Body"/>
              <w:spacing w:before="0" w:line="240" w:lineRule="auto"/>
              <w:rPr>
                <w:rFonts w:ascii="Arial" w:hAnsi="Arial"/>
                <w:color w:val="FFFFFF"/>
              </w:rPr>
            </w:pPr>
            <w:r>
              <w:rPr>
                <w:rFonts w:ascii="Arial" w:hAnsi="Arial" w:cs="HelveticaNeue-Medium"/>
                <w:color w:val="FFFFFF"/>
                <w:sz w:val="22"/>
                <w:szCs w:val="22"/>
              </w:rPr>
              <w:t>Systems of r</w:t>
            </w:r>
            <w:r w:rsidR="003D3719" w:rsidRPr="000018DA">
              <w:rPr>
                <w:rFonts w:ascii="Arial" w:hAnsi="Arial" w:cs="HelveticaNeue-Medium"/>
                <w:color w:val="FFFFFF"/>
                <w:sz w:val="22"/>
                <w:szCs w:val="22"/>
              </w:rPr>
              <w:t>isk</w:t>
            </w:r>
            <w:r>
              <w:rPr>
                <w:rFonts w:ascii="Arial" w:hAnsi="Arial" w:cs="HelveticaNeue-Medium"/>
                <w:color w:val="FFFFFF"/>
                <w:sz w:val="22"/>
                <w:szCs w:val="22"/>
              </w:rPr>
              <w:t xml:space="preserve"> oversight and </w:t>
            </w:r>
            <w:r w:rsidR="003D3719" w:rsidRPr="000018DA">
              <w:rPr>
                <w:rFonts w:ascii="Arial" w:hAnsi="Arial" w:cs="HelveticaNeue-Medium"/>
                <w:color w:val="FFFFFF"/>
                <w:sz w:val="22"/>
                <w:szCs w:val="22"/>
              </w:rPr>
              <w:t>management</w:t>
            </w:r>
            <w:r w:rsidR="00176926">
              <w:rPr>
                <w:rFonts w:ascii="Arial" w:hAnsi="Arial" w:cs="HelveticaNeue-Medium"/>
                <w:color w:val="FFFFFF"/>
                <w:sz w:val="22"/>
                <w:szCs w:val="22"/>
              </w:rPr>
              <w:t xml:space="preserve"> </w:t>
            </w:r>
          </w:p>
        </w:tc>
      </w:tr>
      <w:tr w:rsidR="006940E1" w:rsidRPr="000018DA" w14:paraId="6E7A513A" w14:textId="77777777" w:rsidTr="00CA4E1C">
        <w:trPr>
          <w:trHeight w:val="60"/>
        </w:trPr>
        <w:tc>
          <w:tcPr>
            <w:tcW w:w="8789" w:type="dxa"/>
            <w:tcBorders>
              <w:bottom w:val="single" w:sz="4" w:space="0" w:color="auto"/>
            </w:tcBorders>
            <w:shd w:val="clear" w:color="auto" w:fill="auto"/>
            <w:tcMar>
              <w:top w:w="113" w:type="dxa"/>
              <w:left w:w="113" w:type="dxa"/>
              <w:bottom w:w="113" w:type="dxa"/>
              <w:right w:w="113" w:type="dxa"/>
            </w:tcMar>
            <w:vAlign w:val="bottom"/>
          </w:tcPr>
          <w:p w14:paraId="6E7A5139" w14:textId="77777777" w:rsidR="006940E1" w:rsidRPr="00C10F34" w:rsidRDefault="006940E1" w:rsidP="006940E1">
            <w:pPr>
              <w:pStyle w:val="Body"/>
              <w:spacing w:line="220" w:lineRule="atLeast"/>
              <w:rPr>
                <w:rFonts w:ascii="Arial" w:hAnsi="Arial"/>
                <w:color w:val="auto"/>
              </w:rPr>
            </w:pPr>
          </w:p>
        </w:tc>
      </w:tr>
      <w:tr w:rsidR="003D3719" w:rsidRPr="000018DA" w14:paraId="6E7A5141" w14:textId="77777777" w:rsidTr="00CA4E1C">
        <w:trPr>
          <w:trHeight w:val="60"/>
        </w:trPr>
        <w:tc>
          <w:tcPr>
            <w:tcW w:w="878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3" w:type="dxa"/>
              <w:left w:w="113" w:type="dxa"/>
              <w:bottom w:w="113" w:type="dxa"/>
              <w:right w:w="113" w:type="dxa"/>
            </w:tcMar>
            <w:vAlign w:val="bottom"/>
          </w:tcPr>
          <w:p w14:paraId="6E7A513B" w14:textId="77777777" w:rsidR="006940E1" w:rsidRDefault="008565A6" w:rsidP="006940E1">
            <w:pPr>
              <w:pStyle w:val="Body"/>
              <w:numPr>
                <w:ilvl w:val="0"/>
                <w:numId w:val="8"/>
              </w:numPr>
              <w:spacing w:line="220" w:lineRule="atLeast"/>
              <w:rPr>
                <w:rFonts w:ascii="Arial" w:hAnsi="Arial"/>
                <w:color w:val="auto"/>
              </w:rPr>
            </w:pPr>
            <w:r>
              <w:rPr>
                <w:rFonts w:ascii="Arial" w:hAnsi="Arial"/>
              </w:rPr>
              <w:t>assess</w:t>
            </w:r>
            <w:r w:rsidR="003D3719" w:rsidRPr="000018DA">
              <w:rPr>
                <w:rFonts w:ascii="Arial" w:hAnsi="Arial"/>
              </w:rPr>
              <w:t xml:space="preserve"> whether management has in place a current and </w:t>
            </w:r>
            <w:r w:rsidR="00EB7E10">
              <w:rPr>
                <w:rFonts w:ascii="Arial" w:hAnsi="Arial"/>
              </w:rPr>
              <w:t>sound</w:t>
            </w:r>
            <w:r w:rsidR="003D3719" w:rsidRPr="000018DA">
              <w:rPr>
                <w:rFonts w:ascii="Arial" w:hAnsi="Arial"/>
              </w:rPr>
              <w:t xml:space="preserve"> enterprise risk management framework and associated procedures for effective identification and management of the </w:t>
            </w:r>
            <w:r w:rsidR="007411EC">
              <w:rPr>
                <w:rFonts w:ascii="Arial" w:hAnsi="Arial"/>
              </w:rPr>
              <w:t>Tiwi Land Council’s</w:t>
            </w:r>
            <w:r w:rsidR="003D3719" w:rsidRPr="000018DA">
              <w:rPr>
                <w:rFonts w:ascii="Arial" w:hAnsi="Arial"/>
              </w:rPr>
              <w:t xml:space="preserve"> business and f</w:t>
            </w:r>
            <w:r w:rsidR="001A63BE">
              <w:rPr>
                <w:rFonts w:ascii="Arial" w:hAnsi="Arial"/>
              </w:rPr>
              <w:t>inancial risks, including fraud</w:t>
            </w:r>
            <w:r w:rsidR="00173EA7">
              <w:rPr>
                <w:rFonts w:ascii="Arial" w:hAnsi="Arial"/>
              </w:rPr>
              <w:t xml:space="preserve">; and </w:t>
            </w:r>
            <w:r w:rsidR="007411EC" w:rsidRPr="007411EC">
              <w:rPr>
                <w:rFonts w:ascii="Arial" w:hAnsi="Arial"/>
              </w:rPr>
              <w:t>recommend</w:t>
            </w:r>
            <w:r w:rsidR="00173EA7">
              <w:rPr>
                <w:rFonts w:ascii="Arial" w:hAnsi="Arial"/>
              </w:rPr>
              <w:t xml:space="preserve"> the Risk Management Framework</w:t>
            </w:r>
          </w:p>
          <w:p w14:paraId="6E7A513C" w14:textId="77777777" w:rsidR="006940E1" w:rsidRDefault="001A63BE" w:rsidP="006940E1">
            <w:pPr>
              <w:pStyle w:val="Body"/>
              <w:numPr>
                <w:ilvl w:val="0"/>
                <w:numId w:val="8"/>
              </w:numPr>
              <w:spacing w:line="220" w:lineRule="atLeast"/>
              <w:rPr>
                <w:rFonts w:ascii="Arial" w:hAnsi="Arial"/>
                <w:color w:val="auto"/>
              </w:rPr>
            </w:pPr>
            <w:r w:rsidRPr="006940E1">
              <w:rPr>
                <w:rFonts w:ascii="Arial" w:hAnsi="Arial"/>
              </w:rPr>
              <w:t>d</w:t>
            </w:r>
            <w:r w:rsidR="003D3719" w:rsidRPr="006940E1">
              <w:rPr>
                <w:rFonts w:ascii="Arial" w:hAnsi="Arial"/>
              </w:rPr>
              <w:t xml:space="preserve">etermine whether a sound and effective approach has been followed in managing the </w:t>
            </w:r>
            <w:r w:rsidR="007411EC">
              <w:rPr>
                <w:rFonts w:ascii="Arial" w:hAnsi="Arial"/>
              </w:rPr>
              <w:t>Tiwi Land Council’s</w:t>
            </w:r>
            <w:r w:rsidR="003D3719" w:rsidRPr="006940E1">
              <w:rPr>
                <w:rFonts w:ascii="Arial" w:hAnsi="Arial"/>
              </w:rPr>
              <w:t xml:space="preserve"> major risks</w:t>
            </w:r>
            <w:r w:rsidR="008565A6" w:rsidRPr="006940E1">
              <w:rPr>
                <w:rFonts w:ascii="Arial" w:hAnsi="Arial"/>
              </w:rPr>
              <w:t>,</w:t>
            </w:r>
            <w:r w:rsidR="003D3719" w:rsidRPr="006940E1">
              <w:rPr>
                <w:rFonts w:ascii="Arial" w:hAnsi="Arial"/>
              </w:rPr>
              <w:t xml:space="preserve"> including those associated with individual projects, program</w:t>
            </w:r>
            <w:r w:rsidRPr="006940E1">
              <w:rPr>
                <w:rFonts w:ascii="Arial" w:hAnsi="Arial"/>
              </w:rPr>
              <w:t xml:space="preserve"> implementation, and activities</w:t>
            </w:r>
          </w:p>
          <w:p w14:paraId="6E7A513D" w14:textId="77777777" w:rsidR="006940E1" w:rsidRDefault="001E1FBF" w:rsidP="006940E1">
            <w:pPr>
              <w:pStyle w:val="Body"/>
              <w:numPr>
                <w:ilvl w:val="0"/>
                <w:numId w:val="8"/>
              </w:numPr>
              <w:spacing w:line="220" w:lineRule="atLeast"/>
              <w:rPr>
                <w:rFonts w:ascii="Arial" w:hAnsi="Arial"/>
                <w:color w:val="auto"/>
              </w:rPr>
            </w:pPr>
            <w:r w:rsidRPr="006940E1">
              <w:rPr>
                <w:rFonts w:ascii="Arial" w:hAnsi="Arial"/>
              </w:rPr>
              <w:t xml:space="preserve">satisfy itself that management has assessed </w:t>
            </w:r>
            <w:r w:rsidR="003D3719" w:rsidRPr="006940E1">
              <w:rPr>
                <w:rFonts w:ascii="Arial" w:hAnsi="Arial"/>
              </w:rPr>
              <w:t xml:space="preserve"> the impact of </w:t>
            </w:r>
            <w:r w:rsidR="00AC525D">
              <w:rPr>
                <w:rFonts w:ascii="Arial" w:hAnsi="Arial"/>
              </w:rPr>
              <w:t>Tiwi Land Council’s</w:t>
            </w:r>
            <w:r w:rsidR="003D3719" w:rsidRPr="006940E1">
              <w:rPr>
                <w:rFonts w:ascii="Arial" w:hAnsi="Arial"/>
              </w:rPr>
              <w:t xml:space="preserve"> enterprise risk management framework on </w:t>
            </w:r>
            <w:r w:rsidR="00AC525D">
              <w:rPr>
                <w:rFonts w:ascii="Arial" w:hAnsi="Arial"/>
              </w:rPr>
              <w:t xml:space="preserve">Tiwi Land Council’s </w:t>
            </w:r>
            <w:r w:rsidR="003D3719" w:rsidRPr="006940E1">
              <w:rPr>
                <w:rFonts w:ascii="Arial" w:hAnsi="Arial"/>
              </w:rPr>
              <w:t>control environ</w:t>
            </w:r>
            <w:r w:rsidR="001A63BE" w:rsidRPr="006940E1">
              <w:rPr>
                <w:rFonts w:ascii="Arial" w:hAnsi="Arial"/>
              </w:rPr>
              <w:t xml:space="preserve">ment </w:t>
            </w:r>
          </w:p>
          <w:p w14:paraId="6E7A513E" w14:textId="77777777" w:rsidR="006940E1" w:rsidRDefault="00EB2EFB" w:rsidP="006940E1">
            <w:pPr>
              <w:pStyle w:val="Body"/>
              <w:numPr>
                <w:ilvl w:val="0"/>
                <w:numId w:val="8"/>
              </w:numPr>
              <w:spacing w:line="220" w:lineRule="atLeast"/>
              <w:rPr>
                <w:rFonts w:ascii="Arial" w:hAnsi="Arial"/>
                <w:color w:val="auto"/>
              </w:rPr>
            </w:pPr>
            <w:r w:rsidRPr="006940E1">
              <w:rPr>
                <w:rFonts w:ascii="Arial" w:hAnsi="Arial"/>
              </w:rPr>
              <w:t>m</w:t>
            </w:r>
            <w:r w:rsidR="008565A6" w:rsidRPr="006940E1">
              <w:rPr>
                <w:rFonts w:ascii="Arial" w:hAnsi="Arial"/>
              </w:rPr>
              <w:t xml:space="preserve">onitor the adequacy of insurance cover for the </w:t>
            </w:r>
            <w:r w:rsidR="00AC525D">
              <w:rPr>
                <w:rFonts w:ascii="Arial" w:hAnsi="Arial"/>
              </w:rPr>
              <w:t>Tiwi Land Council.</w:t>
            </w:r>
          </w:p>
          <w:p w14:paraId="6E7A513F" w14:textId="77777777" w:rsidR="006940E1" w:rsidRDefault="008565A6" w:rsidP="006940E1">
            <w:pPr>
              <w:pStyle w:val="Body"/>
              <w:numPr>
                <w:ilvl w:val="0"/>
                <w:numId w:val="8"/>
              </w:numPr>
              <w:spacing w:line="220" w:lineRule="atLeast"/>
              <w:rPr>
                <w:rFonts w:ascii="Arial" w:hAnsi="Arial"/>
                <w:color w:val="auto"/>
              </w:rPr>
            </w:pPr>
            <w:r w:rsidRPr="006940E1">
              <w:rPr>
                <w:rFonts w:ascii="Arial" w:hAnsi="Arial"/>
              </w:rPr>
              <w:t>monitor</w:t>
            </w:r>
            <w:r w:rsidR="003D3719" w:rsidRPr="006940E1">
              <w:rPr>
                <w:rFonts w:ascii="Arial" w:hAnsi="Arial"/>
              </w:rPr>
              <w:t xml:space="preserve"> reports on fraud from entity</w:t>
            </w:r>
            <w:r w:rsidR="00AB1826" w:rsidRPr="006940E1">
              <w:rPr>
                <w:rFonts w:ascii="Arial" w:hAnsi="Arial"/>
              </w:rPr>
              <w:t xml:space="preserve"> management</w:t>
            </w:r>
            <w:r w:rsidR="003D3719" w:rsidRPr="006940E1">
              <w:rPr>
                <w:rFonts w:ascii="Arial" w:hAnsi="Arial"/>
              </w:rPr>
              <w:t xml:space="preserve"> that outline any </w:t>
            </w:r>
            <w:r w:rsidRPr="006940E1">
              <w:rPr>
                <w:rFonts w:ascii="Arial" w:hAnsi="Arial"/>
              </w:rPr>
              <w:t xml:space="preserve">significant </w:t>
            </w:r>
            <w:r w:rsidR="00DF6353" w:rsidRPr="006940E1">
              <w:rPr>
                <w:rFonts w:ascii="Arial" w:hAnsi="Arial"/>
              </w:rPr>
              <w:t xml:space="preserve">or systemic </w:t>
            </w:r>
            <w:r w:rsidR="003D3719" w:rsidRPr="006940E1">
              <w:rPr>
                <w:rFonts w:ascii="Arial" w:hAnsi="Arial"/>
              </w:rPr>
              <w:t>allegations of fraud, the status of any ongoing investigations and any changes to iden</w:t>
            </w:r>
            <w:r w:rsidR="001A63BE" w:rsidRPr="006940E1">
              <w:rPr>
                <w:rFonts w:ascii="Arial" w:hAnsi="Arial"/>
              </w:rPr>
              <w:t xml:space="preserve">tified </w:t>
            </w:r>
            <w:r w:rsidR="001A63BE" w:rsidRPr="006940E1">
              <w:rPr>
                <w:rFonts w:ascii="Arial" w:hAnsi="Arial"/>
              </w:rPr>
              <w:lastRenderedPageBreak/>
              <w:t xml:space="preserve">fraud risk in </w:t>
            </w:r>
            <w:r w:rsidR="00AC525D">
              <w:rPr>
                <w:rFonts w:ascii="Arial" w:hAnsi="Arial"/>
              </w:rPr>
              <w:t>the Tiwi Land Council.</w:t>
            </w:r>
            <w:r w:rsidR="00DF6353" w:rsidRPr="006940E1">
              <w:rPr>
                <w:rFonts w:ascii="Arial" w:hAnsi="Arial"/>
              </w:rPr>
              <w:t xml:space="preserve"> </w:t>
            </w:r>
          </w:p>
          <w:p w14:paraId="6E7A5140" w14:textId="77777777" w:rsidR="00EB2EFB" w:rsidRPr="006940E1" w:rsidRDefault="00EB2EFB" w:rsidP="007411EC">
            <w:pPr>
              <w:pStyle w:val="Body"/>
              <w:numPr>
                <w:ilvl w:val="0"/>
                <w:numId w:val="8"/>
              </w:numPr>
              <w:spacing w:line="220" w:lineRule="atLeast"/>
              <w:rPr>
                <w:rFonts w:ascii="Arial" w:hAnsi="Arial"/>
                <w:color w:val="auto"/>
              </w:rPr>
            </w:pPr>
            <w:r w:rsidRPr="006940E1">
              <w:rPr>
                <w:rFonts w:ascii="Arial" w:hAnsi="Arial"/>
              </w:rPr>
              <w:t xml:space="preserve">at least annually, </w:t>
            </w:r>
            <w:proofErr w:type="gramStart"/>
            <w:r w:rsidRPr="006940E1">
              <w:rPr>
                <w:rFonts w:ascii="Arial" w:hAnsi="Arial"/>
              </w:rPr>
              <w:t>commission  and</w:t>
            </w:r>
            <w:proofErr w:type="gramEnd"/>
            <w:r w:rsidRPr="006940E1">
              <w:rPr>
                <w:rFonts w:ascii="Arial" w:hAnsi="Arial"/>
              </w:rPr>
              <w:t xml:space="preserve"> </w:t>
            </w:r>
            <w:r w:rsidR="007411EC" w:rsidRPr="007411EC">
              <w:rPr>
                <w:rFonts w:ascii="Arial" w:hAnsi="Arial"/>
              </w:rPr>
              <w:t>recommend</w:t>
            </w:r>
            <w:r w:rsidRPr="006940E1">
              <w:rPr>
                <w:rFonts w:ascii="Arial" w:hAnsi="Arial"/>
              </w:rPr>
              <w:t xml:space="preserve"> an entity-wide assurance map that identifies the </w:t>
            </w:r>
            <w:r w:rsidR="007411EC">
              <w:rPr>
                <w:rFonts w:ascii="Arial" w:hAnsi="Arial"/>
              </w:rPr>
              <w:t>Tiwi Land Council’s</w:t>
            </w:r>
            <w:r w:rsidRPr="006940E1">
              <w:rPr>
                <w:rFonts w:ascii="Arial" w:hAnsi="Arial"/>
              </w:rPr>
              <w:t xml:space="preserve"> key assurance </w:t>
            </w:r>
            <w:r w:rsidR="00B2505F" w:rsidRPr="006940E1">
              <w:rPr>
                <w:rFonts w:ascii="Arial" w:hAnsi="Arial"/>
              </w:rPr>
              <w:t>arrangements</w:t>
            </w:r>
            <w:r w:rsidRPr="006940E1">
              <w:rPr>
                <w:rFonts w:ascii="Arial" w:hAnsi="Arial"/>
              </w:rPr>
              <w:t>.</w:t>
            </w:r>
            <w:r w:rsidR="007411EC">
              <w:rPr>
                <w:rStyle w:val="FootnoteReference"/>
                <w:rFonts w:ascii="Arial" w:hAnsi="Arial"/>
              </w:rPr>
              <w:footnoteReference w:id="4"/>
            </w:r>
          </w:p>
        </w:tc>
      </w:tr>
    </w:tbl>
    <w:p w14:paraId="6E7A5142" w14:textId="77777777" w:rsidR="00173EA7" w:rsidRDefault="00173EA7"/>
    <w:p w14:paraId="6E7A5143" w14:textId="77777777" w:rsidR="00C10F34" w:rsidRDefault="00C10F34"/>
    <w:p w14:paraId="6E7A5144" w14:textId="77777777" w:rsidR="00AC525D" w:rsidRDefault="00AC525D"/>
    <w:p w14:paraId="6E7A5145" w14:textId="77777777" w:rsidR="00C10F34" w:rsidRDefault="00C10F34"/>
    <w:tbl>
      <w:tblPr>
        <w:tblW w:w="8789" w:type="dxa"/>
        <w:tblInd w:w="113" w:type="dxa"/>
        <w:tblLayout w:type="fixed"/>
        <w:tblCellMar>
          <w:left w:w="0" w:type="dxa"/>
          <w:right w:w="0" w:type="dxa"/>
        </w:tblCellMar>
        <w:tblLook w:val="0000" w:firstRow="0" w:lastRow="0" w:firstColumn="0" w:lastColumn="0" w:noHBand="0" w:noVBand="0"/>
      </w:tblPr>
      <w:tblGrid>
        <w:gridCol w:w="8789"/>
      </w:tblGrid>
      <w:tr w:rsidR="003D3719" w:rsidRPr="006F0CA2" w14:paraId="6E7A5147" w14:textId="77777777" w:rsidTr="00B52A78">
        <w:trPr>
          <w:trHeight w:val="227"/>
        </w:trPr>
        <w:tc>
          <w:tcPr>
            <w:tcW w:w="8789" w:type="dxa"/>
            <w:shd w:val="solid" w:color="007AC3" w:fill="auto"/>
            <w:tcMar>
              <w:top w:w="113" w:type="dxa"/>
              <w:left w:w="113" w:type="dxa"/>
              <w:bottom w:w="113" w:type="dxa"/>
              <w:right w:w="113" w:type="dxa"/>
            </w:tcMar>
            <w:vAlign w:val="center"/>
          </w:tcPr>
          <w:p w14:paraId="6E7A5146" w14:textId="77777777" w:rsidR="003D3719" w:rsidRPr="006F0CA2" w:rsidRDefault="00C96564" w:rsidP="00AC525D">
            <w:pPr>
              <w:pStyle w:val="Body"/>
              <w:spacing w:before="0" w:line="240" w:lineRule="auto"/>
              <w:rPr>
                <w:rFonts w:ascii="Arial" w:hAnsi="Arial" w:cs="HelveticaNeue-Medium"/>
                <w:color w:val="FFFFFF"/>
                <w:sz w:val="22"/>
                <w:szCs w:val="22"/>
              </w:rPr>
            </w:pPr>
            <w:r>
              <w:rPr>
                <w:rFonts w:ascii="Arial" w:hAnsi="Arial" w:cs="HelveticaNeue-Medium"/>
                <w:color w:val="FFFFFF"/>
                <w:sz w:val="22"/>
                <w:szCs w:val="22"/>
              </w:rPr>
              <w:t>System of i</w:t>
            </w:r>
            <w:r w:rsidR="003D3719" w:rsidRPr="000018DA">
              <w:rPr>
                <w:rFonts w:ascii="Arial" w:hAnsi="Arial" w:cs="HelveticaNeue-Medium"/>
                <w:color w:val="FFFFFF"/>
                <w:sz w:val="22"/>
                <w:szCs w:val="22"/>
              </w:rPr>
              <w:t>nternal control</w:t>
            </w:r>
            <w:r w:rsidR="00176926">
              <w:rPr>
                <w:rFonts w:ascii="Arial" w:hAnsi="Arial" w:cs="HelveticaNeue-Medium"/>
                <w:color w:val="FFFFFF"/>
                <w:sz w:val="22"/>
                <w:szCs w:val="22"/>
              </w:rPr>
              <w:t xml:space="preserve"> </w:t>
            </w:r>
          </w:p>
        </w:tc>
      </w:tr>
      <w:tr w:rsidR="006940E1" w:rsidRPr="006F0CA2" w14:paraId="6E7A5149" w14:textId="77777777" w:rsidTr="00B52A78">
        <w:trPr>
          <w:trHeight w:val="227"/>
        </w:trPr>
        <w:tc>
          <w:tcPr>
            <w:tcW w:w="8789" w:type="dxa"/>
            <w:tcBorders>
              <w:bottom w:val="single" w:sz="4" w:space="0" w:color="auto"/>
            </w:tcBorders>
            <w:shd w:val="clear" w:color="auto" w:fill="auto"/>
            <w:tcMar>
              <w:top w:w="113" w:type="dxa"/>
              <w:left w:w="113" w:type="dxa"/>
              <w:bottom w:w="113" w:type="dxa"/>
              <w:right w:w="113" w:type="dxa"/>
            </w:tcMar>
            <w:vAlign w:val="center"/>
          </w:tcPr>
          <w:p w14:paraId="6E7A5148" w14:textId="77777777" w:rsidR="006940E1" w:rsidRDefault="006940E1" w:rsidP="006F0CA2">
            <w:pPr>
              <w:pStyle w:val="Body"/>
              <w:spacing w:before="0" w:line="240" w:lineRule="auto"/>
              <w:rPr>
                <w:rFonts w:ascii="Arial" w:hAnsi="Arial" w:cs="HelveticaNeue-Medium"/>
                <w:color w:val="FFFFFF"/>
                <w:sz w:val="22"/>
                <w:szCs w:val="22"/>
              </w:rPr>
            </w:pPr>
          </w:p>
        </w:tc>
      </w:tr>
      <w:tr w:rsidR="003D3719" w:rsidRPr="000018DA" w14:paraId="6E7A5159" w14:textId="77777777" w:rsidTr="00B52A78">
        <w:trPr>
          <w:trHeight w:val="60"/>
        </w:trPr>
        <w:tc>
          <w:tcPr>
            <w:tcW w:w="878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3" w:type="dxa"/>
              <w:left w:w="113" w:type="dxa"/>
              <w:bottom w:w="113" w:type="dxa"/>
              <w:right w:w="113" w:type="dxa"/>
            </w:tcMar>
            <w:vAlign w:val="bottom"/>
          </w:tcPr>
          <w:p w14:paraId="6E7A514A" w14:textId="77777777" w:rsidR="00EB7E10" w:rsidRPr="00C10F34" w:rsidRDefault="00EB7E10" w:rsidP="00EE4FAB">
            <w:pPr>
              <w:pStyle w:val="Body"/>
              <w:spacing w:before="142" w:line="120" w:lineRule="atLeast"/>
              <w:rPr>
                <w:rFonts w:ascii="Arial" w:hAnsi="Arial"/>
                <w:color w:val="auto"/>
                <w:spacing w:val="-2"/>
              </w:rPr>
            </w:pPr>
            <w:r>
              <w:rPr>
                <w:rFonts w:ascii="Arial" w:hAnsi="Arial"/>
                <w:color w:val="auto"/>
              </w:rPr>
              <w:t>Internal controls framework</w:t>
            </w:r>
          </w:p>
          <w:p w14:paraId="6E7A514B" w14:textId="77777777" w:rsidR="006B7BCF" w:rsidRDefault="008565A6" w:rsidP="001A63BE">
            <w:pPr>
              <w:pStyle w:val="Body"/>
              <w:numPr>
                <w:ilvl w:val="0"/>
                <w:numId w:val="9"/>
              </w:numPr>
              <w:spacing w:line="220" w:lineRule="atLeast"/>
              <w:rPr>
                <w:rFonts w:ascii="Arial" w:hAnsi="Arial"/>
                <w:spacing w:val="-2"/>
              </w:rPr>
            </w:pPr>
            <w:r>
              <w:rPr>
                <w:rFonts w:ascii="Arial" w:hAnsi="Arial"/>
                <w:spacing w:val="-2"/>
              </w:rPr>
              <w:t>assess</w:t>
            </w:r>
            <w:r w:rsidR="003D3719" w:rsidRPr="000018DA">
              <w:rPr>
                <w:rFonts w:ascii="Arial" w:hAnsi="Arial"/>
                <w:spacing w:val="-2"/>
              </w:rPr>
              <w:t xml:space="preserve"> </w:t>
            </w:r>
            <w:r>
              <w:rPr>
                <w:rFonts w:ascii="Arial" w:hAnsi="Arial"/>
                <w:spacing w:val="-2"/>
              </w:rPr>
              <w:t xml:space="preserve">whether </w:t>
            </w:r>
            <w:r w:rsidR="003D3719" w:rsidRPr="000018DA">
              <w:rPr>
                <w:rFonts w:ascii="Arial" w:hAnsi="Arial"/>
                <w:spacing w:val="-2"/>
              </w:rPr>
              <w:t>management</w:t>
            </w:r>
            <w:r w:rsidR="008558AF">
              <w:rPr>
                <w:rFonts w:ascii="Arial" w:hAnsi="Arial"/>
                <w:spacing w:val="-2"/>
              </w:rPr>
              <w:t xml:space="preserve"> has in place</w:t>
            </w:r>
            <w:r w:rsidR="003D3719" w:rsidRPr="000018DA">
              <w:rPr>
                <w:rFonts w:ascii="Arial" w:hAnsi="Arial"/>
                <w:spacing w:val="-2"/>
              </w:rPr>
              <w:t xml:space="preserve"> </w:t>
            </w:r>
            <w:r w:rsidR="008558AF">
              <w:rPr>
                <w:rFonts w:ascii="Arial" w:hAnsi="Arial"/>
                <w:spacing w:val="-4"/>
              </w:rPr>
              <w:t xml:space="preserve">comprehensive and </w:t>
            </w:r>
            <w:r w:rsidR="008558AF" w:rsidRPr="006B7BCF">
              <w:rPr>
                <w:rFonts w:ascii="Arial" w:hAnsi="Arial"/>
                <w:spacing w:val="-4"/>
              </w:rPr>
              <w:t>relevant policies and procedures</w:t>
            </w:r>
            <w:r w:rsidR="008558AF" w:rsidRPr="000018DA">
              <w:rPr>
                <w:rFonts w:ascii="Arial" w:hAnsi="Arial"/>
                <w:spacing w:val="-2"/>
              </w:rPr>
              <w:t xml:space="preserve"> </w:t>
            </w:r>
            <w:r w:rsidR="008558AF">
              <w:rPr>
                <w:rFonts w:ascii="Arial" w:hAnsi="Arial"/>
                <w:spacing w:val="-2"/>
              </w:rPr>
              <w:t xml:space="preserve">designed to </w:t>
            </w:r>
            <w:r w:rsidR="003D3719" w:rsidRPr="000018DA">
              <w:rPr>
                <w:rFonts w:ascii="Arial" w:hAnsi="Arial"/>
                <w:spacing w:val="-2"/>
              </w:rPr>
              <w:t>maintain an effective internal control framework, including over external parties such as contractors and a</w:t>
            </w:r>
            <w:r w:rsidR="003F29D9">
              <w:rPr>
                <w:rFonts w:ascii="Arial" w:hAnsi="Arial"/>
                <w:spacing w:val="-2"/>
              </w:rPr>
              <w:t>dvisers</w:t>
            </w:r>
          </w:p>
          <w:p w14:paraId="6E7A514C" w14:textId="77777777" w:rsidR="00EB7E10" w:rsidRDefault="001A63BE" w:rsidP="00EB7E10">
            <w:pPr>
              <w:pStyle w:val="Body"/>
              <w:numPr>
                <w:ilvl w:val="0"/>
                <w:numId w:val="9"/>
              </w:numPr>
              <w:spacing w:line="220" w:lineRule="atLeast"/>
              <w:rPr>
                <w:rFonts w:ascii="Arial" w:hAnsi="Arial"/>
                <w:spacing w:val="-2"/>
              </w:rPr>
            </w:pPr>
            <w:r>
              <w:rPr>
                <w:rFonts w:ascii="Arial" w:hAnsi="Arial"/>
              </w:rPr>
              <w:t>d</w:t>
            </w:r>
            <w:r w:rsidR="003D3719" w:rsidRPr="006B7BCF">
              <w:rPr>
                <w:rFonts w:ascii="Arial" w:hAnsi="Arial"/>
              </w:rPr>
              <w:t xml:space="preserve">etermine whether </w:t>
            </w:r>
            <w:r w:rsidR="008558AF">
              <w:rPr>
                <w:rFonts w:ascii="Arial" w:hAnsi="Arial"/>
              </w:rPr>
              <w:t xml:space="preserve">management has </w:t>
            </w:r>
            <w:r w:rsidR="003D3719" w:rsidRPr="006B7BCF">
              <w:rPr>
                <w:rFonts w:ascii="Arial" w:hAnsi="Arial"/>
              </w:rPr>
              <w:t>appropriate processes in place to assess, at least once a year, whether key policies a</w:t>
            </w:r>
            <w:r>
              <w:rPr>
                <w:rFonts w:ascii="Arial" w:hAnsi="Arial"/>
              </w:rPr>
              <w:t>nd procedures are complied with</w:t>
            </w:r>
            <w:r w:rsidR="00EB7E10">
              <w:rPr>
                <w:rFonts w:ascii="Arial" w:hAnsi="Arial"/>
                <w:spacing w:val="-2"/>
              </w:rPr>
              <w:t xml:space="preserve"> </w:t>
            </w:r>
          </w:p>
          <w:p w14:paraId="6E7A514D" w14:textId="77777777" w:rsidR="00EB7E10" w:rsidRDefault="00AC525D" w:rsidP="00EB7E10">
            <w:pPr>
              <w:pStyle w:val="Body"/>
              <w:numPr>
                <w:ilvl w:val="0"/>
                <w:numId w:val="9"/>
              </w:numPr>
              <w:spacing w:line="220" w:lineRule="atLeast"/>
              <w:rPr>
                <w:rFonts w:ascii="Arial" w:hAnsi="Arial"/>
                <w:spacing w:val="-2"/>
              </w:rPr>
            </w:pPr>
            <w:r>
              <w:rPr>
                <w:rFonts w:ascii="Arial" w:hAnsi="Arial"/>
                <w:spacing w:val="-2"/>
              </w:rPr>
              <w:t xml:space="preserve">assess the adequacy of the Tiwi Land Council’s </w:t>
            </w:r>
            <w:r w:rsidR="00EB7E10">
              <w:rPr>
                <w:rFonts w:ascii="Arial" w:hAnsi="Arial"/>
                <w:spacing w:val="-2"/>
              </w:rPr>
              <w:t>information technology security arrangements</w:t>
            </w:r>
          </w:p>
          <w:p w14:paraId="6E7A514E" w14:textId="77777777" w:rsidR="00EB7E10" w:rsidRDefault="00EB7E10" w:rsidP="00EB7E10">
            <w:pPr>
              <w:pStyle w:val="Body"/>
              <w:spacing w:line="220" w:lineRule="atLeast"/>
              <w:rPr>
                <w:rFonts w:ascii="Arial" w:hAnsi="Arial"/>
                <w:spacing w:val="-2"/>
              </w:rPr>
            </w:pPr>
            <w:r>
              <w:rPr>
                <w:rFonts w:ascii="Arial" w:hAnsi="Arial"/>
                <w:spacing w:val="-2"/>
              </w:rPr>
              <w:t>Delegations</w:t>
            </w:r>
          </w:p>
          <w:p w14:paraId="6E7A514F" w14:textId="77777777" w:rsidR="00AB1826" w:rsidRPr="00EB7E10" w:rsidRDefault="008558AF" w:rsidP="001A63BE">
            <w:pPr>
              <w:pStyle w:val="Body"/>
              <w:numPr>
                <w:ilvl w:val="0"/>
                <w:numId w:val="9"/>
              </w:numPr>
              <w:spacing w:line="220" w:lineRule="atLeast"/>
              <w:rPr>
                <w:rFonts w:ascii="Arial" w:hAnsi="Arial"/>
                <w:spacing w:val="-2"/>
              </w:rPr>
            </w:pPr>
            <w:r>
              <w:rPr>
                <w:rFonts w:ascii="Arial" w:hAnsi="Arial"/>
              </w:rPr>
              <w:t>assess</w:t>
            </w:r>
            <w:r w:rsidR="003D3719" w:rsidRPr="006B7BCF">
              <w:rPr>
                <w:rFonts w:ascii="Arial" w:hAnsi="Arial"/>
              </w:rPr>
              <w:t xml:space="preserve"> whether appropriate policies and supporting procedures are in place for the managem</w:t>
            </w:r>
            <w:r w:rsidR="001A63BE">
              <w:rPr>
                <w:rFonts w:ascii="Arial" w:hAnsi="Arial"/>
              </w:rPr>
              <w:t>ent and exercise of delegations</w:t>
            </w:r>
          </w:p>
          <w:p w14:paraId="6E7A5150" w14:textId="77777777" w:rsidR="00EB7E10" w:rsidRPr="006B7BCF" w:rsidRDefault="00EB7E10" w:rsidP="00EB7E10">
            <w:pPr>
              <w:pStyle w:val="Body"/>
              <w:spacing w:line="220" w:lineRule="atLeast"/>
              <w:rPr>
                <w:rFonts w:ascii="Arial" w:hAnsi="Arial"/>
                <w:spacing w:val="-2"/>
              </w:rPr>
            </w:pPr>
            <w:r>
              <w:rPr>
                <w:rFonts w:ascii="Arial" w:hAnsi="Arial"/>
              </w:rPr>
              <w:t>Business continuity management</w:t>
            </w:r>
          </w:p>
          <w:p w14:paraId="6E7A5151" w14:textId="77777777" w:rsidR="006B7BCF" w:rsidRDefault="001A63BE" w:rsidP="001A63BE">
            <w:pPr>
              <w:pStyle w:val="Body"/>
              <w:numPr>
                <w:ilvl w:val="0"/>
                <w:numId w:val="9"/>
              </w:numPr>
              <w:spacing w:before="142" w:line="220" w:lineRule="atLeast"/>
              <w:rPr>
                <w:rFonts w:ascii="Arial" w:hAnsi="Arial"/>
              </w:rPr>
            </w:pPr>
            <w:r>
              <w:rPr>
                <w:rFonts w:ascii="Arial" w:hAnsi="Arial"/>
              </w:rPr>
              <w:t>d</w:t>
            </w:r>
            <w:r w:rsidR="00AB1826" w:rsidRPr="000018DA">
              <w:rPr>
                <w:rFonts w:ascii="Arial" w:hAnsi="Arial"/>
              </w:rPr>
              <w:t xml:space="preserve">etermine whether a sound and effective approach has been followed in establishing </w:t>
            </w:r>
            <w:r w:rsidR="00AC525D">
              <w:rPr>
                <w:rFonts w:ascii="Arial" w:hAnsi="Arial"/>
              </w:rPr>
              <w:t>the Tiwi Land Council’s</w:t>
            </w:r>
            <w:r w:rsidR="00AB1826" w:rsidRPr="000018DA">
              <w:rPr>
                <w:rFonts w:ascii="Arial" w:hAnsi="Arial"/>
              </w:rPr>
              <w:t xml:space="preserve"> business continuity planning arrangements, including whether business continuity and disaster recovery plans </w:t>
            </w:r>
            <w:r w:rsidR="008558AF">
              <w:rPr>
                <w:rFonts w:ascii="Arial" w:hAnsi="Arial"/>
              </w:rPr>
              <w:t>are</w:t>
            </w:r>
            <w:r w:rsidR="00AB1826" w:rsidRPr="000018DA">
              <w:rPr>
                <w:rFonts w:ascii="Arial" w:hAnsi="Arial"/>
              </w:rPr>
              <w:t xml:space="preserve"> </w:t>
            </w:r>
            <w:r>
              <w:rPr>
                <w:rFonts w:ascii="Arial" w:hAnsi="Arial"/>
              </w:rPr>
              <w:t>periodically updated and tested</w:t>
            </w:r>
          </w:p>
          <w:p w14:paraId="6E7A5152" w14:textId="77777777" w:rsidR="00EB7E10" w:rsidRDefault="00EB7E10" w:rsidP="00EB7E10">
            <w:pPr>
              <w:pStyle w:val="Body"/>
              <w:spacing w:before="142" w:line="220" w:lineRule="atLeast"/>
              <w:rPr>
                <w:rFonts w:ascii="Arial" w:hAnsi="Arial"/>
              </w:rPr>
            </w:pPr>
            <w:r>
              <w:rPr>
                <w:rFonts w:ascii="Arial" w:hAnsi="Arial"/>
              </w:rPr>
              <w:t>Ethical and lawful behaviour</w:t>
            </w:r>
          </w:p>
          <w:p w14:paraId="6E7A5153" w14:textId="77777777" w:rsidR="003D3719" w:rsidRDefault="001A63BE" w:rsidP="001A63BE">
            <w:pPr>
              <w:pStyle w:val="Body"/>
              <w:numPr>
                <w:ilvl w:val="0"/>
                <w:numId w:val="9"/>
              </w:numPr>
              <w:spacing w:before="142" w:line="220" w:lineRule="atLeast"/>
              <w:rPr>
                <w:rFonts w:ascii="Arial" w:hAnsi="Arial"/>
              </w:rPr>
            </w:pPr>
            <w:r>
              <w:rPr>
                <w:rFonts w:ascii="Arial" w:hAnsi="Arial"/>
              </w:rPr>
              <w:t>a</w:t>
            </w:r>
            <w:r w:rsidR="003D3719" w:rsidRPr="006B7BCF">
              <w:rPr>
                <w:rFonts w:ascii="Arial" w:hAnsi="Arial"/>
              </w:rPr>
              <w:t>ssess whether management has taken steps to embed a culture that promotes the proper use</w:t>
            </w:r>
            <w:r w:rsidR="00D5103F" w:rsidRPr="006B7BCF">
              <w:rPr>
                <w:rFonts w:ascii="Arial" w:hAnsi="Arial"/>
              </w:rPr>
              <w:t xml:space="preserve"> </w:t>
            </w:r>
            <w:r w:rsidR="003D3719" w:rsidRPr="006B7BCF">
              <w:rPr>
                <w:rFonts w:ascii="Arial" w:hAnsi="Arial"/>
              </w:rPr>
              <w:t>of Commonwealth resources and is committed to ethical and lawful behaviour.</w:t>
            </w:r>
          </w:p>
          <w:p w14:paraId="6E7A5154" w14:textId="77777777" w:rsidR="00EB7E10" w:rsidRDefault="00EB7E10" w:rsidP="00EB7E10">
            <w:pPr>
              <w:pStyle w:val="Body"/>
              <w:spacing w:before="142" w:line="220" w:lineRule="atLeast"/>
              <w:rPr>
                <w:rFonts w:ascii="Arial" w:hAnsi="Arial"/>
              </w:rPr>
            </w:pPr>
            <w:r>
              <w:rPr>
                <w:rFonts w:ascii="Arial" w:hAnsi="Arial"/>
              </w:rPr>
              <w:t>Legislative and policy compliance</w:t>
            </w:r>
          </w:p>
          <w:p w14:paraId="6E7A5155" w14:textId="77777777" w:rsidR="00EB7E10" w:rsidRDefault="00EB7E10" w:rsidP="00EB7E10">
            <w:pPr>
              <w:pStyle w:val="Body"/>
              <w:numPr>
                <w:ilvl w:val="0"/>
                <w:numId w:val="17"/>
              </w:numPr>
              <w:spacing w:before="142" w:line="120" w:lineRule="atLeast"/>
              <w:rPr>
                <w:rFonts w:ascii="Arial" w:hAnsi="Arial"/>
                <w:color w:val="auto"/>
                <w:spacing w:val="-2"/>
              </w:rPr>
            </w:pPr>
            <w:r>
              <w:rPr>
                <w:rFonts w:ascii="Arial" w:hAnsi="Arial"/>
              </w:rPr>
              <w:t>assess</w:t>
            </w:r>
            <w:r w:rsidRPr="000018DA">
              <w:rPr>
                <w:rFonts w:ascii="Arial" w:hAnsi="Arial"/>
              </w:rPr>
              <w:t xml:space="preserve"> the effectivenes</w:t>
            </w:r>
            <w:r>
              <w:rPr>
                <w:rFonts w:ascii="Arial" w:hAnsi="Arial"/>
              </w:rPr>
              <w:t xml:space="preserve">s of the system for monitoring </w:t>
            </w:r>
            <w:r w:rsidRPr="000018DA">
              <w:rPr>
                <w:rFonts w:ascii="Arial" w:hAnsi="Arial"/>
              </w:rPr>
              <w:t xml:space="preserve">the </w:t>
            </w:r>
            <w:r w:rsidR="007411EC">
              <w:rPr>
                <w:rFonts w:ascii="Arial" w:hAnsi="Arial"/>
              </w:rPr>
              <w:t>Tiwi Land Council’s</w:t>
            </w:r>
            <w:r w:rsidRPr="000018DA">
              <w:rPr>
                <w:rFonts w:ascii="Arial" w:hAnsi="Arial"/>
              </w:rPr>
              <w:t xml:space="preserve"> compliance with those laws, regulations and associated government policies t</w:t>
            </w:r>
            <w:r>
              <w:rPr>
                <w:rFonts w:ascii="Arial" w:hAnsi="Arial"/>
              </w:rPr>
              <w:t>hat the entity must comply with</w:t>
            </w:r>
          </w:p>
          <w:p w14:paraId="6E7A5156" w14:textId="77777777" w:rsidR="00EB7E10" w:rsidRDefault="00EB7E10" w:rsidP="00EB7E10">
            <w:pPr>
              <w:pStyle w:val="Body"/>
              <w:numPr>
                <w:ilvl w:val="0"/>
                <w:numId w:val="17"/>
              </w:numPr>
              <w:spacing w:before="142" w:line="120" w:lineRule="atLeast"/>
              <w:rPr>
                <w:rFonts w:ascii="Arial" w:hAnsi="Arial"/>
                <w:color w:val="auto"/>
                <w:spacing w:val="-2"/>
              </w:rPr>
            </w:pPr>
            <w:r w:rsidRPr="005C28FE">
              <w:rPr>
                <w:rFonts w:ascii="Arial" w:hAnsi="Arial"/>
              </w:rPr>
              <w:t xml:space="preserve">assess where relevant, the </w:t>
            </w:r>
            <w:r w:rsidR="007411EC">
              <w:rPr>
                <w:rFonts w:ascii="Arial" w:hAnsi="Arial"/>
              </w:rPr>
              <w:t>Tiwi Land Council’s</w:t>
            </w:r>
            <w:r w:rsidRPr="005C28FE">
              <w:rPr>
                <w:rFonts w:ascii="Arial" w:hAnsi="Arial"/>
              </w:rPr>
              <w:t xml:space="preserve"> compliance with International Conventions, particularly the OECD Convention on Combating Bribery of Foreign Public Officials in International Business Transactions</w:t>
            </w:r>
          </w:p>
          <w:p w14:paraId="6E7A5157" w14:textId="77777777" w:rsidR="00EB7E10" w:rsidRDefault="00EB7E10" w:rsidP="00EB7E10">
            <w:pPr>
              <w:pStyle w:val="Body"/>
              <w:numPr>
                <w:ilvl w:val="0"/>
                <w:numId w:val="17"/>
              </w:numPr>
              <w:spacing w:before="142" w:line="120" w:lineRule="atLeast"/>
              <w:rPr>
                <w:rFonts w:ascii="Arial" w:hAnsi="Arial"/>
                <w:color w:val="auto"/>
                <w:spacing w:val="-2"/>
              </w:rPr>
            </w:pPr>
            <w:r w:rsidRPr="005C28FE">
              <w:rPr>
                <w:rFonts w:ascii="Arial" w:hAnsi="Arial"/>
              </w:rPr>
              <w:t xml:space="preserve">determine whether management has appropriately considered legal and compliance risks as part of the </w:t>
            </w:r>
            <w:r w:rsidR="007411EC">
              <w:rPr>
                <w:rFonts w:ascii="Arial" w:hAnsi="Arial"/>
              </w:rPr>
              <w:t>Tiwi Land Council’s</w:t>
            </w:r>
            <w:r w:rsidRPr="005C28FE">
              <w:rPr>
                <w:rFonts w:ascii="Arial" w:hAnsi="Arial"/>
              </w:rPr>
              <w:t xml:space="preserve"> enterprise risk management plan</w:t>
            </w:r>
          </w:p>
          <w:p w14:paraId="6E7A5158" w14:textId="77777777" w:rsidR="00EB7E10" w:rsidRPr="006B7BCF" w:rsidRDefault="00EB7E10" w:rsidP="00B52A78">
            <w:pPr>
              <w:pStyle w:val="Body"/>
              <w:numPr>
                <w:ilvl w:val="0"/>
                <w:numId w:val="17"/>
              </w:numPr>
              <w:spacing w:before="142" w:line="220" w:lineRule="atLeast"/>
              <w:rPr>
                <w:rFonts w:ascii="Arial" w:hAnsi="Arial"/>
              </w:rPr>
            </w:pPr>
            <w:r w:rsidRPr="00F75B56">
              <w:rPr>
                <w:rFonts w:ascii="Arial" w:hAnsi="Arial"/>
              </w:rPr>
              <w:t xml:space="preserve">provide advice to </w:t>
            </w:r>
            <w:r w:rsidRPr="00B52A78">
              <w:rPr>
                <w:rFonts w:ascii="Arial" w:hAnsi="Arial"/>
                <w:color w:val="auto"/>
              </w:rPr>
              <w:t>the accountable authority</w:t>
            </w:r>
            <w:r w:rsidR="00B52A78">
              <w:rPr>
                <w:rFonts w:ascii="Arial" w:hAnsi="Arial"/>
              </w:rPr>
              <w:t xml:space="preserve"> </w:t>
            </w:r>
            <w:r w:rsidRPr="00F75B56">
              <w:rPr>
                <w:rFonts w:ascii="Arial" w:hAnsi="Arial"/>
              </w:rPr>
              <w:t xml:space="preserve">regarding the issue of the </w:t>
            </w:r>
            <w:r w:rsidR="007411EC">
              <w:rPr>
                <w:rFonts w:ascii="Arial" w:hAnsi="Arial"/>
              </w:rPr>
              <w:t>Tiwi Land Council’s</w:t>
            </w:r>
            <w:r w:rsidRPr="00F75B56">
              <w:rPr>
                <w:rFonts w:ascii="Arial" w:hAnsi="Arial"/>
              </w:rPr>
              <w:t xml:space="preserve"> annual Certificate of Compliance, or equivalent report.</w:t>
            </w:r>
          </w:p>
        </w:tc>
      </w:tr>
    </w:tbl>
    <w:p w14:paraId="6E7A515A" w14:textId="77777777" w:rsidR="00F75B56" w:rsidRPr="004432BA" w:rsidRDefault="00F75B56" w:rsidP="00670F2D">
      <w:pPr>
        <w:pStyle w:val="Head-Sub1"/>
        <w:ind w:left="0" w:firstLine="0"/>
        <w:rPr>
          <w:rFonts w:ascii="Arial" w:hAnsi="Arial"/>
          <w:sz w:val="28"/>
          <w:szCs w:val="28"/>
        </w:rPr>
      </w:pPr>
      <w:r w:rsidRPr="004432BA">
        <w:rPr>
          <w:rFonts w:ascii="Arial" w:hAnsi="Arial"/>
          <w:sz w:val="28"/>
          <w:szCs w:val="28"/>
        </w:rPr>
        <w:lastRenderedPageBreak/>
        <w:t>Engagement with the ANAO</w:t>
      </w:r>
    </w:p>
    <w:p w14:paraId="6E7A515B" w14:textId="77777777" w:rsidR="00F75B56" w:rsidRDefault="00F75B56" w:rsidP="00F75B56">
      <w:pPr>
        <w:pStyle w:val="Head-Sub1"/>
        <w:spacing w:before="0" w:line="0" w:lineRule="atLeast"/>
        <w:ind w:left="0" w:firstLine="0"/>
        <w:rPr>
          <w:rFonts w:ascii="Arial" w:hAnsi="Arial"/>
          <w:b w:val="0"/>
          <w:color w:val="auto"/>
          <w:sz w:val="20"/>
          <w:szCs w:val="20"/>
        </w:rPr>
      </w:pPr>
    </w:p>
    <w:p w14:paraId="6E7A515C" w14:textId="77777777" w:rsidR="00F75B56" w:rsidRDefault="00F75B56" w:rsidP="00F75B56">
      <w:pPr>
        <w:pStyle w:val="Head-Sub1"/>
        <w:spacing w:before="0" w:line="0" w:lineRule="atLeast"/>
        <w:ind w:left="0" w:firstLine="0"/>
        <w:rPr>
          <w:rFonts w:ascii="Arial" w:hAnsi="Arial"/>
          <w:b w:val="0"/>
          <w:color w:val="auto"/>
          <w:sz w:val="20"/>
          <w:szCs w:val="20"/>
        </w:rPr>
      </w:pPr>
      <w:r w:rsidRPr="00F75B56">
        <w:rPr>
          <w:rFonts w:ascii="Arial" w:hAnsi="Arial" w:cs="HelveticaNeue-Light"/>
          <w:b w:val="0"/>
          <w:bCs w:val="0"/>
          <w:color w:val="000000"/>
          <w:w w:val="100"/>
          <w:sz w:val="20"/>
          <w:szCs w:val="20"/>
        </w:rPr>
        <w:t xml:space="preserve">The committee will engage with the ANAO, as the </w:t>
      </w:r>
      <w:r w:rsidR="007411EC">
        <w:rPr>
          <w:rFonts w:ascii="Arial" w:hAnsi="Arial" w:cs="HelveticaNeue-Light"/>
          <w:b w:val="0"/>
          <w:bCs w:val="0"/>
          <w:color w:val="000000"/>
          <w:w w:val="100"/>
          <w:sz w:val="20"/>
          <w:szCs w:val="20"/>
        </w:rPr>
        <w:t>Tiwi Land Council’s</w:t>
      </w:r>
      <w:r w:rsidRPr="00F75B56">
        <w:rPr>
          <w:rFonts w:ascii="Arial" w:hAnsi="Arial" w:cs="HelveticaNeue-Light"/>
          <w:b w:val="0"/>
          <w:bCs w:val="0"/>
          <w:color w:val="000000"/>
          <w:w w:val="100"/>
          <w:sz w:val="20"/>
          <w:szCs w:val="20"/>
        </w:rPr>
        <w:t xml:space="preserve"> external auditor, in relation to the ANAO’s financial statement and performance audit coverage.  In particular, the committee will</w:t>
      </w:r>
      <w:r w:rsidRPr="00F75B56">
        <w:rPr>
          <w:rFonts w:ascii="Arial" w:hAnsi="Arial"/>
          <w:b w:val="0"/>
          <w:color w:val="auto"/>
          <w:sz w:val="20"/>
          <w:szCs w:val="20"/>
        </w:rPr>
        <w:t>:</w:t>
      </w:r>
    </w:p>
    <w:p w14:paraId="6E7A515D" w14:textId="77777777" w:rsidR="00670F2D" w:rsidRPr="00F75B56" w:rsidRDefault="00670F2D" w:rsidP="00F75B56">
      <w:pPr>
        <w:pStyle w:val="Head-Sub1"/>
        <w:spacing w:before="0" w:line="0" w:lineRule="atLeast"/>
        <w:ind w:left="0" w:firstLine="0"/>
        <w:rPr>
          <w:rFonts w:ascii="Arial" w:hAnsi="Arial"/>
          <w:b w:val="0"/>
          <w:color w:val="auto"/>
          <w:sz w:val="20"/>
          <w:szCs w:val="20"/>
        </w:rPr>
      </w:pPr>
    </w:p>
    <w:p w14:paraId="6E7A515E" w14:textId="77777777" w:rsidR="00670F2D" w:rsidRPr="00971C84" w:rsidRDefault="00F75B56" w:rsidP="00670F2D">
      <w:pPr>
        <w:pStyle w:val="Body"/>
        <w:numPr>
          <w:ilvl w:val="0"/>
          <w:numId w:val="19"/>
        </w:numPr>
        <w:spacing w:before="0" w:line="240" w:lineRule="auto"/>
        <w:ind w:left="357" w:hanging="357"/>
        <w:rPr>
          <w:rFonts w:ascii="Arial" w:hAnsi="Arial"/>
          <w:color w:val="auto"/>
          <w:spacing w:val="-2"/>
        </w:rPr>
      </w:pPr>
      <w:r w:rsidRPr="00971C84">
        <w:rPr>
          <w:rFonts w:ascii="Arial" w:hAnsi="Arial"/>
        </w:rPr>
        <w:t>provide input on</w:t>
      </w:r>
      <w:r w:rsidR="00971C84" w:rsidRPr="00971C84">
        <w:rPr>
          <w:rFonts w:ascii="Arial" w:hAnsi="Arial"/>
        </w:rPr>
        <w:t xml:space="preserve"> planned ANAO</w:t>
      </w:r>
      <w:r w:rsidRPr="00971C84">
        <w:rPr>
          <w:rFonts w:ascii="Arial" w:hAnsi="Arial"/>
        </w:rPr>
        <w:t xml:space="preserve"> financial statement and performance audit coverage </w:t>
      </w:r>
    </w:p>
    <w:p w14:paraId="6E7A515F" w14:textId="77777777" w:rsidR="00971C84" w:rsidRPr="00971C84" w:rsidRDefault="00971C84" w:rsidP="00971C84">
      <w:pPr>
        <w:pStyle w:val="Body"/>
        <w:spacing w:before="0" w:line="240" w:lineRule="auto"/>
        <w:ind w:left="357"/>
        <w:rPr>
          <w:rFonts w:ascii="Arial" w:hAnsi="Arial"/>
          <w:color w:val="auto"/>
          <w:spacing w:val="-2"/>
        </w:rPr>
      </w:pPr>
    </w:p>
    <w:p w14:paraId="6E7A5160" w14:textId="77777777" w:rsidR="00F75B56" w:rsidRPr="00D55F15" w:rsidRDefault="00670F2D" w:rsidP="00670F2D">
      <w:pPr>
        <w:pStyle w:val="Head-Sub1"/>
        <w:numPr>
          <w:ilvl w:val="0"/>
          <w:numId w:val="19"/>
        </w:numPr>
        <w:spacing w:before="0" w:line="240" w:lineRule="auto"/>
        <w:ind w:left="357" w:hanging="357"/>
        <w:rPr>
          <w:rFonts w:ascii="Arial" w:hAnsi="Arial"/>
          <w:b w:val="0"/>
          <w:color w:val="auto"/>
          <w:sz w:val="22"/>
          <w:szCs w:val="22"/>
        </w:rPr>
      </w:pPr>
      <w:r>
        <w:rPr>
          <w:rFonts w:ascii="Arial" w:hAnsi="Arial" w:cs="HelveticaNeue-Light"/>
          <w:b w:val="0"/>
          <w:bCs w:val="0"/>
          <w:color w:val="000000"/>
          <w:w w:val="100"/>
          <w:sz w:val="20"/>
          <w:szCs w:val="20"/>
        </w:rPr>
        <w:t>monitor management’s response</w:t>
      </w:r>
      <w:r w:rsidR="00F75B56" w:rsidRPr="00670F2D">
        <w:rPr>
          <w:rFonts w:ascii="Arial" w:hAnsi="Arial" w:cs="HelveticaNeue-Light"/>
          <w:b w:val="0"/>
          <w:bCs w:val="0"/>
          <w:color w:val="000000"/>
          <w:w w:val="100"/>
          <w:sz w:val="20"/>
          <w:szCs w:val="20"/>
        </w:rPr>
        <w:t xml:space="preserve">s to all ANAO </w:t>
      </w:r>
      <w:r w:rsidR="00971C84">
        <w:rPr>
          <w:rFonts w:ascii="Arial" w:hAnsi="Arial" w:cs="HelveticaNeue-Light"/>
          <w:b w:val="0"/>
          <w:bCs w:val="0"/>
          <w:color w:val="000000"/>
          <w:w w:val="100"/>
          <w:sz w:val="20"/>
          <w:szCs w:val="20"/>
        </w:rPr>
        <w:t>financial statement management letters and performance audit reports, including</w:t>
      </w:r>
      <w:r w:rsidR="00F75B56" w:rsidRPr="00670F2D">
        <w:rPr>
          <w:rFonts w:ascii="Arial" w:hAnsi="Arial" w:cs="HelveticaNeue-Light"/>
          <w:b w:val="0"/>
          <w:bCs w:val="0"/>
          <w:color w:val="000000"/>
          <w:w w:val="100"/>
          <w:sz w:val="20"/>
          <w:szCs w:val="20"/>
        </w:rPr>
        <w:t xml:space="preserve"> the  implementation of audit recommendations</w:t>
      </w:r>
    </w:p>
    <w:p w14:paraId="6E7A5161" w14:textId="77777777" w:rsidR="00D55F15" w:rsidRPr="00971C84" w:rsidRDefault="00D55F15" w:rsidP="00D55F15">
      <w:pPr>
        <w:pStyle w:val="Head-Sub1"/>
        <w:spacing w:before="0" w:line="240" w:lineRule="auto"/>
        <w:ind w:left="0" w:firstLine="0"/>
        <w:rPr>
          <w:rFonts w:ascii="Arial" w:hAnsi="Arial"/>
          <w:b w:val="0"/>
          <w:color w:val="auto"/>
          <w:sz w:val="22"/>
          <w:szCs w:val="22"/>
        </w:rPr>
      </w:pPr>
    </w:p>
    <w:p w14:paraId="6E7A5162" w14:textId="77777777" w:rsidR="00971C84" w:rsidRPr="00D55F15" w:rsidRDefault="00971C84" w:rsidP="00670F2D">
      <w:pPr>
        <w:pStyle w:val="Head-Sub1"/>
        <w:numPr>
          <w:ilvl w:val="0"/>
          <w:numId w:val="19"/>
        </w:numPr>
        <w:spacing w:before="0" w:line="240" w:lineRule="auto"/>
        <w:ind w:left="357" w:hanging="357"/>
        <w:rPr>
          <w:rFonts w:ascii="Arial" w:hAnsi="Arial" w:cs="HelveticaNeue-Light"/>
          <w:b w:val="0"/>
          <w:bCs w:val="0"/>
          <w:color w:val="000000"/>
          <w:w w:val="100"/>
          <w:sz w:val="20"/>
          <w:szCs w:val="20"/>
        </w:rPr>
      </w:pPr>
      <w:r w:rsidRPr="00D55F15">
        <w:rPr>
          <w:rFonts w:ascii="Arial" w:hAnsi="Arial" w:cs="HelveticaNeue-Light"/>
          <w:b w:val="0"/>
          <w:bCs w:val="0"/>
          <w:color w:val="000000"/>
          <w:w w:val="100"/>
          <w:sz w:val="20"/>
          <w:szCs w:val="20"/>
        </w:rPr>
        <w:t>provide advice to the accountable authority</w:t>
      </w:r>
      <w:r w:rsidR="00B52A78" w:rsidRPr="00D55F15">
        <w:rPr>
          <w:rFonts w:ascii="Arial" w:hAnsi="Arial" w:cs="HelveticaNeue-Light"/>
          <w:b w:val="0"/>
          <w:bCs w:val="0"/>
          <w:color w:val="000000"/>
          <w:w w:val="100"/>
          <w:sz w:val="20"/>
          <w:szCs w:val="20"/>
        </w:rPr>
        <w:t xml:space="preserve"> </w:t>
      </w:r>
      <w:r w:rsidRPr="00D55F15">
        <w:rPr>
          <w:rFonts w:ascii="Arial" w:hAnsi="Arial" w:cs="HelveticaNeue-Light"/>
          <w:b w:val="0"/>
          <w:bCs w:val="0"/>
          <w:color w:val="000000"/>
          <w:w w:val="100"/>
          <w:sz w:val="20"/>
          <w:szCs w:val="20"/>
        </w:rPr>
        <w:t>on action to be taken on significant issues raised in relevant ANAO reports or better practice guides</w:t>
      </w:r>
    </w:p>
    <w:p w14:paraId="6E7A5163" w14:textId="77777777" w:rsidR="00971C84" w:rsidRPr="00D55F15" w:rsidRDefault="00971C84" w:rsidP="00971C84">
      <w:pPr>
        <w:pStyle w:val="Head-Sub1"/>
        <w:spacing w:before="0" w:line="240" w:lineRule="auto"/>
        <w:ind w:left="357" w:firstLine="0"/>
        <w:rPr>
          <w:rFonts w:ascii="Arial" w:hAnsi="Arial"/>
          <w:b w:val="0"/>
          <w:color w:val="auto"/>
          <w:sz w:val="20"/>
          <w:szCs w:val="20"/>
        </w:rPr>
      </w:pPr>
    </w:p>
    <w:p w14:paraId="6E7A5164" w14:textId="77777777" w:rsidR="00971C84" w:rsidRPr="00D55F15" w:rsidRDefault="00971C84" w:rsidP="00670F2D">
      <w:pPr>
        <w:pStyle w:val="Head-Sub1"/>
        <w:numPr>
          <w:ilvl w:val="0"/>
          <w:numId w:val="19"/>
        </w:numPr>
        <w:spacing w:before="0" w:line="240" w:lineRule="auto"/>
        <w:ind w:left="357" w:hanging="357"/>
        <w:rPr>
          <w:rFonts w:ascii="Arial" w:hAnsi="Arial" w:cs="HelveticaNeue-Light"/>
          <w:b w:val="0"/>
          <w:bCs w:val="0"/>
          <w:color w:val="000000"/>
          <w:w w:val="100"/>
          <w:sz w:val="20"/>
          <w:szCs w:val="20"/>
        </w:rPr>
      </w:pPr>
      <w:r w:rsidRPr="00D55F15">
        <w:rPr>
          <w:rFonts w:ascii="Arial" w:hAnsi="Arial" w:cs="HelveticaNeue-Light"/>
          <w:b w:val="0"/>
          <w:bCs w:val="0"/>
          <w:color w:val="000000"/>
          <w:w w:val="100"/>
          <w:sz w:val="20"/>
          <w:szCs w:val="20"/>
        </w:rPr>
        <w:t>meet privately with the ANAO at least once per year.</w:t>
      </w:r>
    </w:p>
    <w:p w14:paraId="6E7A5165" w14:textId="77777777" w:rsidR="003D3719" w:rsidRPr="000018DA" w:rsidRDefault="00173EA7" w:rsidP="00971C84">
      <w:pPr>
        <w:pStyle w:val="Head-Sub1"/>
        <w:ind w:left="0" w:firstLine="0"/>
        <w:rPr>
          <w:rFonts w:ascii="Arial" w:hAnsi="Arial"/>
        </w:rPr>
      </w:pPr>
      <w:r w:rsidRPr="004432BA">
        <w:rPr>
          <w:rFonts w:ascii="Arial" w:hAnsi="Arial"/>
          <w:sz w:val="28"/>
          <w:szCs w:val="28"/>
        </w:rPr>
        <w:t>Authority of the committee</w:t>
      </w:r>
      <w:r w:rsidR="00600583">
        <w:rPr>
          <w:rStyle w:val="FootnoteReference"/>
          <w:rFonts w:ascii="Arial" w:hAnsi="Arial"/>
        </w:rPr>
        <w:footnoteReference w:id="5"/>
      </w:r>
    </w:p>
    <w:p w14:paraId="6E7A5166" w14:textId="77777777" w:rsidR="003D3719" w:rsidRDefault="00173EA7" w:rsidP="003D3719">
      <w:pPr>
        <w:pStyle w:val="Body"/>
        <w:rPr>
          <w:rFonts w:ascii="Arial" w:hAnsi="Arial"/>
        </w:rPr>
      </w:pPr>
      <w:r>
        <w:rPr>
          <w:rFonts w:ascii="Arial" w:hAnsi="Arial"/>
        </w:rPr>
        <w:t xml:space="preserve">All </w:t>
      </w:r>
      <w:r w:rsidR="0011058D">
        <w:rPr>
          <w:rFonts w:ascii="Arial" w:hAnsi="Arial"/>
        </w:rPr>
        <w:t xml:space="preserve">decisions of the committee shall be referred to the </w:t>
      </w:r>
      <w:r w:rsidR="00DD3802" w:rsidRPr="00446470">
        <w:rPr>
          <w:rFonts w:ascii="Arial" w:hAnsi="Arial"/>
        </w:rPr>
        <w:t>accountable authority</w:t>
      </w:r>
      <w:r w:rsidR="0011058D">
        <w:rPr>
          <w:rFonts w:ascii="Arial" w:hAnsi="Arial"/>
        </w:rPr>
        <w:t xml:space="preserve"> for approval, other than:</w:t>
      </w:r>
    </w:p>
    <w:p w14:paraId="6E7A5167" w14:textId="77777777" w:rsidR="0011058D" w:rsidRDefault="0011058D" w:rsidP="003D3719">
      <w:pPr>
        <w:pStyle w:val="Body"/>
        <w:numPr>
          <w:ilvl w:val="0"/>
          <w:numId w:val="13"/>
        </w:numPr>
        <w:rPr>
          <w:rFonts w:ascii="Arial" w:hAnsi="Arial"/>
        </w:rPr>
      </w:pPr>
      <w:r w:rsidRPr="00B21544">
        <w:rPr>
          <w:rFonts w:ascii="Arial" w:hAnsi="Arial"/>
        </w:rPr>
        <w:t>the Internal</w:t>
      </w:r>
      <w:r w:rsidR="00B21544">
        <w:rPr>
          <w:rFonts w:ascii="Arial" w:hAnsi="Arial"/>
        </w:rPr>
        <w:t xml:space="preserve"> Audit Charter, Internal Audit Pan and internal audit budget;</w:t>
      </w:r>
    </w:p>
    <w:p w14:paraId="6E7A5168" w14:textId="77777777" w:rsidR="00B21544" w:rsidRDefault="00B52A78" w:rsidP="003D3719">
      <w:pPr>
        <w:pStyle w:val="Body"/>
        <w:numPr>
          <w:ilvl w:val="0"/>
          <w:numId w:val="13"/>
        </w:numPr>
        <w:rPr>
          <w:rFonts w:ascii="Arial" w:hAnsi="Arial"/>
        </w:rPr>
      </w:pPr>
      <w:r>
        <w:rPr>
          <w:rFonts w:ascii="Arial" w:hAnsi="Arial"/>
        </w:rPr>
        <w:t xml:space="preserve">the Tiwi Land Council’s </w:t>
      </w:r>
      <w:r w:rsidR="00B21544">
        <w:rPr>
          <w:rFonts w:ascii="Arial" w:hAnsi="Arial"/>
        </w:rPr>
        <w:t>Risk Management Framework</w:t>
      </w:r>
    </w:p>
    <w:p w14:paraId="6E7A5169" w14:textId="77777777" w:rsidR="00EB2EFB" w:rsidRDefault="00EB2EFB" w:rsidP="003D3719">
      <w:pPr>
        <w:pStyle w:val="Body"/>
        <w:numPr>
          <w:ilvl w:val="0"/>
          <w:numId w:val="13"/>
        </w:numPr>
        <w:rPr>
          <w:rFonts w:ascii="Arial" w:hAnsi="Arial"/>
        </w:rPr>
      </w:pPr>
      <w:r>
        <w:rPr>
          <w:rFonts w:ascii="Arial" w:hAnsi="Arial"/>
        </w:rPr>
        <w:t>an entity-wide assurance map</w:t>
      </w:r>
    </w:p>
    <w:p w14:paraId="6E7A516A" w14:textId="77777777" w:rsidR="000E0678" w:rsidRDefault="00B21544" w:rsidP="004432BA">
      <w:pPr>
        <w:pStyle w:val="Body"/>
        <w:spacing w:line="0" w:lineRule="atLeast"/>
        <w:rPr>
          <w:rFonts w:ascii="Arial" w:hAnsi="Arial" w:cs="HelveticaNeue-Bold"/>
          <w:b/>
          <w:bCs/>
          <w:color w:val="007AC3"/>
          <w:w w:val="87"/>
          <w:sz w:val="30"/>
          <w:szCs w:val="30"/>
        </w:rPr>
      </w:pPr>
      <w:r>
        <w:rPr>
          <w:rFonts w:ascii="Arial" w:hAnsi="Arial"/>
        </w:rPr>
        <w:t xml:space="preserve">that do not require the approval of the </w:t>
      </w:r>
      <w:r w:rsidR="00DD3802" w:rsidRPr="00446470">
        <w:rPr>
          <w:rFonts w:ascii="Arial" w:hAnsi="Arial"/>
        </w:rPr>
        <w:t>accountable authority</w:t>
      </w:r>
      <w:r>
        <w:rPr>
          <w:rFonts w:ascii="Arial" w:hAnsi="Arial"/>
        </w:rPr>
        <w:t>.</w:t>
      </w:r>
    </w:p>
    <w:p w14:paraId="6E7A516B" w14:textId="77777777" w:rsidR="003D3719" w:rsidRPr="004432BA" w:rsidRDefault="003D3719" w:rsidP="004432BA">
      <w:pPr>
        <w:pStyle w:val="Head-Sub1"/>
        <w:spacing w:before="240" w:line="0" w:lineRule="atLeast"/>
        <w:ind w:left="0" w:firstLine="0"/>
        <w:outlineLvl w:val="0"/>
        <w:rPr>
          <w:rFonts w:ascii="Arial" w:hAnsi="Arial"/>
          <w:sz w:val="28"/>
          <w:szCs w:val="28"/>
        </w:rPr>
      </w:pPr>
      <w:r w:rsidRPr="004432BA">
        <w:rPr>
          <w:rFonts w:ascii="Arial" w:hAnsi="Arial"/>
          <w:sz w:val="28"/>
          <w:szCs w:val="28"/>
        </w:rPr>
        <w:t>Reporting</w:t>
      </w:r>
    </w:p>
    <w:p w14:paraId="6E7A516C" w14:textId="77777777" w:rsidR="00B21544" w:rsidRDefault="00B21544" w:rsidP="004432BA">
      <w:pPr>
        <w:pStyle w:val="Body"/>
        <w:spacing w:line="0" w:lineRule="atLeast"/>
        <w:rPr>
          <w:rFonts w:ascii="Arial" w:hAnsi="Arial"/>
        </w:rPr>
      </w:pPr>
      <w:r>
        <w:rPr>
          <w:rFonts w:ascii="Arial" w:hAnsi="Arial"/>
        </w:rPr>
        <w:t xml:space="preserve">The committee will regularly update the </w:t>
      </w:r>
      <w:r w:rsidR="00B52A78" w:rsidRPr="00446470">
        <w:rPr>
          <w:rFonts w:ascii="Arial" w:hAnsi="Arial"/>
        </w:rPr>
        <w:t>accountable authority</w:t>
      </w:r>
      <w:r>
        <w:rPr>
          <w:rFonts w:ascii="Arial" w:hAnsi="Arial"/>
        </w:rPr>
        <w:t xml:space="preserve"> on its activities and make recommendation</w:t>
      </w:r>
      <w:r w:rsidR="00670F2D">
        <w:rPr>
          <w:rFonts w:ascii="Arial" w:hAnsi="Arial"/>
        </w:rPr>
        <w:t xml:space="preserve">s to the </w:t>
      </w:r>
      <w:r w:rsidR="00B52A78" w:rsidRPr="00446470">
        <w:rPr>
          <w:rFonts w:ascii="Arial" w:hAnsi="Arial"/>
        </w:rPr>
        <w:t>accountable authority</w:t>
      </w:r>
      <w:r w:rsidR="00670F2D">
        <w:rPr>
          <w:rFonts w:ascii="Arial" w:hAnsi="Arial"/>
        </w:rPr>
        <w:t>, as appropriate.</w:t>
      </w:r>
    </w:p>
    <w:p w14:paraId="6E7A516D" w14:textId="77777777" w:rsidR="00670F2D" w:rsidRDefault="00670F2D" w:rsidP="00670F2D">
      <w:pPr>
        <w:pStyle w:val="Body"/>
        <w:spacing w:before="0" w:line="0" w:lineRule="atLeast"/>
        <w:rPr>
          <w:rFonts w:ascii="Arial" w:hAnsi="Arial"/>
        </w:rPr>
      </w:pPr>
    </w:p>
    <w:p w14:paraId="6E7A516E" w14:textId="77777777" w:rsidR="00B21544" w:rsidRDefault="00B21544" w:rsidP="00670F2D">
      <w:pPr>
        <w:pStyle w:val="Body"/>
        <w:spacing w:before="0" w:line="0" w:lineRule="atLeast"/>
        <w:rPr>
          <w:rFonts w:ascii="Arial" w:hAnsi="Arial"/>
        </w:rPr>
      </w:pPr>
      <w:r>
        <w:rPr>
          <w:rFonts w:ascii="Arial" w:hAnsi="Arial"/>
        </w:rPr>
        <w:t xml:space="preserve">The Chair of the Committee will report to the </w:t>
      </w:r>
      <w:r w:rsidR="00B52A78" w:rsidRPr="00446470">
        <w:rPr>
          <w:rFonts w:ascii="Arial" w:hAnsi="Arial"/>
        </w:rPr>
        <w:t>accountable authority</w:t>
      </w:r>
      <w:r>
        <w:rPr>
          <w:rFonts w:ascii="Arial" w:hAnsi="Arial"/>
        </w:rPr>
        <w:t xml:space="preserve"> at the next </w:t>
      </w:r>
      <w:r w:rsidR="00B52A78" w:rsidRPr="00446470">
        <w:rPr>
          <w:rFonts w:ascii="Arial" w:hAnsi="Arial"/>
        </w:rPr>
        <w:t>accountable authority</w:t>
      </w:r>
      <w:r>
        <w:rPr>
          <w:rFonts w:ascii="Arial" w:hAnsi="Arial"/>
        </w:rPr>
        <w:t xml:space="preserve"> meeting following a meeting of the committee on any matters that the</w:t>
      </w:r>
      <w:r w:rsidR="003D3719" w:rsidRPr="000018DA">
        <w:rPr>
          <w:rFonts w:ascii="Arial" w:hAnsi="Arial"/>
        </w:rPr>
        <w:t xml:space="preserve"> committee </w:t>
      </w:r>
      <w:r>
        <w:rPr>
          <w:rFonts w:ascii="Arial" w:hAnsi="Arial"/>
        </w:rPr>
        <w:t xml:space="preserve">considers should be brought to the attention of the </w:t>
      </w:r>
      <w:r w:rsidR="00B52A78" w:rsidRPr="00446470">
        <w:rPr>
          <w:rFonts w:ascii="Arial" w:hAnsi="Arial"/>
        </w:rPr>
        <w:t>accountable authority</w:t>
      </w:r>
      <w:r>
        <w:rPr>
          <w:rFonts w:ascii="Arial" w:hAnsi="Arial"/>
        </w:rPr>
        <w:t xml:space="preserve">. </w:t>
      </w:r>
    </w:p>
    <w:p w14:paraId="6E7A516F" w14:textId="77777777" w:rsidR="003D3719" w:rsidRPr="000018DA" w:rsidRDefault="00B21544" w:rsidP="00A94CB1">
      <w:pPr>
        <w:pStyle w:val="Body"/>
        <w:rPr>
          <w:rFonts w:ascii="Arial" w:hAnsi="Arial"/>
        </w:rPr>
      </w:pPr>
      <w:r>
        <w:rPr>
          <w:rFonts w:ascii="Arial" w:hAnsi="Arial"/>
        </w:rPr>
        <w:t xml:space="preserve">The committee will </w:t>
      </w:r>
      <w:r w:rsidR="00E32D92">
        <w:rPr>
          <w:rFonts w:ascii="Arial" w:hAnsi="Arial"/>
        </w:rPr>
        <w:t xml:space="preserve">at least once annually confirm to the </w:t>
      </w:r>
      <w:r w:rsidR="00642D7F" w:rsidRPr="00446470">
        <w:rPr>
          <w:rFonts w:ascii="Arial" w:hAnsi="Arial"/>
        </w:rPr>
        <w:t>accountable authority</w:t>
      </w:r>
      <w:r w:rsidR="00642D7F">
        <w:rPr>
          <w:rFonts w:ascii="Arial" w:hAnsi="Arial"/>
        </w:rPr>
        <w:t xml:space="preserve"> </w:t>
      </w:r>
      <w:r w:rsidR="00E32D92">
        <w:rPr>
          <w:rFonts w:ascii="Arial" w:hAnsi="Arial"/>
        </w:rPr>
        <w:t>that all function</w:t>
      </w:r>
      <w:r w:rsidR="001A1B3A">
        <w:rPr>
          <w:rFonts w:ascii="Arial" w:hAnsi="Arial"/>
        </w:rPr>
        <w:t>s</w:t>
      </w:r>
      <w:r w:rsidR="00E32D92">
        <w:rPr>
          <w:rFonts w:ascii="Arial" w:hAnsi="Arial"/>
        </w:rPr>
        <w:t>/responsibilities outlined in this charter have been carried out</w:t>
      </w:r>
      <w:r w:rsidR="001A1B3A">
        <w:rPr>
          <w:rFonts w:ascii="Arial" w:hAnsi="Arial"/>
        </w:rPr>
        <w:t>,</w:t>
      </w:r>
      <w:r w:rsidR="00E32D92">
        <w:rPr>
          <w:rFonts w:ascii="Arial" w:hAnsi="Arial"/>
        </w:rPr>
        <w:t xml:space="preserve"> and </w:t>
      </w:r>
      <w:r w:rsidR="00EB2EFB">
        <w:rPr>
          <w:rFonts w:ascii="Arial" w:hAnsi="Arial"/>
        </w:rPr>
        <w:t xml:space="preserve">comply with any other reporting requirements specified by the </w:t>
      </w:r>
      <w:r w:rsidR="00642D7F" w:rsidRPr="00446470">
        <w:rPr>
          <w:rFonts w:ascii="Arial" w:hAnsi="Arial"/>
        </w:rPr>
        <w:t>accountable authority</w:t>
      </w:r>
      <w:r w:rsidR="00642D7F">
        <w:rPr>
          <w:rFonts w:ascii="Arial" w:hAnsi="Arial"/>
        </w:rPr>
        <w:t xml:space="preserve"> </w:t>
      </w:r>
      <w:r w:rsidR="00EB2EFB">
        <w:rPr>
          <w:rFonts w:ascii="Arial" w:hAnsi="Arial"/>
        </w:rPr>
        <w:t>from time to time.</w:t>
      </w:r>
      <w:r w:rsidR="003D3719" w:rsidRPr="000018DA">
        <w:rPr>
          <w:rFonts w:ascii="Arial" w:hAnsi="Arial"/>
        </w:rPr>
        <w:t xml:space="preserve"> </w:t>
      </w:r>
    </w:p>
    <w:p w14:paraId="6E7A5170" w14:textId="77777777" w:rsidR="00250C6E" w:rsidRDefault="00250C6E" w:rsidP="004432BA">
      <w:pPr>
        <w:pStyle w:val="Head-Sub1"/>
        <w:spacing w:before="240"/>
        <w:outlineLvl w:val="0"/>
        <w:rPr>
          <w:rFonts w:ascii="Arial" w:hAnsi="Arial"/>
          <w:sz w:val="28"/>
          <w:szCs w:val="28"/>
        </w:rPr>
      </w:pPr>
    </w:p>
    <w:p w14:paraId="6E7A5171" w14:textId="77777777" w:rsidR="00250C6E" w:rsidRDefault="00250C6E" w:rsidP="004432BA">
      <w:pPr>
        <w:pStyle w:val="Head-Sub1"/>
        <w:spacing w:before="240"/>
        <w:outlineLvl w:val="0"/>
        <w:rPr>
          <w:rFonts w:ascii="Arial" w:hAnsi="Arial"/>
          <w:sz w:val="28"/>
          <w:szCs w:val="28"/>
        </w:rPr>
      </w:pPr>
    </w:p>
    <w:p w14:paraId="6E7A5172" w14:textId="77777777" w:rsidR="00250C6E" w:rsidRDefault="00250C6E" w:rsidP="004432BA">
      <w:pPr>
        <w:pStyle w:val="Head-Sub1"/>
        <w:spacing w:before="240"/>
        <w:outlineLvl w:val="0"/>
        <w:rPr>
          <w:rFonts w:ascii="Arial" w:hAnsi="Arial"/>
          <w:sz w:val="28"/>
          <w:szCs w:val="28"/>
        </w:rPr>
      </w:pPr>
    </w:p>
    <w:p w14:paraId="6E7A5173" w14:textId="77777777" w:rsidR="00250C6E" w:rsidRDefault="00250C6E" w:rsidP="004432BA">
      <w:pPr>
        <w:pStyle w:val="Head-Sub1"/>
        <w:spacing w:before="240"/>
        <w:outlineLvl w:val="0"/>
        <w:rPr>
          <w:rFonts w:ascii="Arial" w:hAnsi="Arial"/>
          <w:sz w:val="28"/>
          <w:szCs w:val="28"/>
        </w:rPr>
      </w:pPr>
    </w:p>
    <w:p w14:paraId="6E7A5174" w14:textId="77777777" w:rsidR="003D3719" w:rsidRPr="004432BA" w:rsidRDefault="003D3719" w:rsidP="004432BA">
      <w:pPr>
        <w:pStyle w:val="Head-Sub1"/>
        <w:spacing w:before="240"/>
        <w:outlineLvl w:val="0"/>
        <w:rPr>
          <w:rFonts w:ascii="Arial" w:hAnsi="Arial"/>
          <w:sz w:val="28"/>
          <w:szCs w:val="28"/>
        </w:rPr>
      </w:pPr>
      <w:r w:rsidRPr="004432BA">
        <w:rPr>
          <w:rFonts w:ascii="Arial" w:hAnsi="Arial"/>
          <w:sz w:val="28"/>
          <w:szCs w:val="28"/>
        </w:rPr>
        <w:t>Administrative arrangements</w:t>
      </w:r>
    </w:p>
    <w:p w14:paraId="6E7A5175" w14:textId="77777777" w:rsidR="003D3719" w:rsidRPr="000018DA" w:rsidRDefault="003D3719" w:rsidP="003D3719">
      <w:pPr>
        <w:pStyle w:val="Head-Sub2"/>
        <w:spacing w:before="57"/>
        <w:outlineLvl w:val="0"/>
        <w:rPr>
          <w:rFonts w:ascii="Arial" w:hAnsi="Arial"/>
        </w:rPr>
      </w:pPr>
      <w:r w:rsidRPr="000018DA">
        <w:rPr>
          <w:rFonts w:ascii="Arial" w:hAnsi="Arial"/>
        </w:rPr>
        <w:lastRenderedPageBreak/>
        <w:t>Meetings</w:t>
      </w:r>
    </w:p>
    <w:p w14:paraId="6E7A5176" w14:textId="77777777" w:rsidR="004432BA" w:rsidRDefault="004432BA" w:rsidP="00670F2D">
      <w:pPr>
        <w:pStyle w:val="Body"/>
        <w:spacing w:before="0" w:line="0" w:lineRule="atLeast"/>
        <w:rPr>
          <w:rFonts w:ascii="Arial" w:hAnsi="Arial"/>
        </w:rPr>
      </w:pPr>
    </w:p>
    <w:p w14:paraId="6E7A5177" w14:textId="77777777" w:rsidR="003D3719" w:rsidRDefault="003D3719" w:rsidP="00670F2D">
      <w:pPr>
        <w:pStyle w:val="Body"/>
        <w:spacing w:before="0" w:line="0" w:lineRule="atLeast"/>
        <w:rPr>
          <w:rFonts w:ascii="Arial" w:hAnsi="Arial"/>
        </w:rPr>
      </w:pPr>
      <w:r w:rsidRPr="000018DA">
        <w:rPr>
          <w:rFonts w:ascii="Arial" w:hAnsi="Arial"/>
        </w:rPr>
        <w:t xml:space="preserve">The committee will meet at least four times per year. </w:t>
      </w:r>
      <w:r w:rsidR="00A94CB1">
        <w:rPr>
          <w:rFonts w:ascii="Arial" w:hAnsi="Arial"/>
        </w:rPr>
        <w:t>One or more</w:t>
      </w:r>
      <w:r w:rsidRPr="000018DA">
        <w:rPr>
          <w:rFonts w:ascii="Arial" w:hAnsi="Arial"/>
        </w:rPr>
        <w:t xml:space="preserve"> special meeting</w:t>
      </w:r>
      <w:r w:rsidR="00A94CB1">
        <w:rPr>
          <w:rFonts w:ascii="Arial" w:hAnsi="Arial"/>
        </w:rPr>
        <w:t>s</w:t>
      </w:r>
      <w:r w:rsidR="00B52A78">
        <w:rPr>
          <w:rFonts w:ascii="Arial" w:hAnsi="Arial"/>
        </w:rPr>
        <w:t xml:space="preserve"> may be held to review Tiwi Land Council’s</w:t>
      </w:r>
      <w:r w:rsidRPr="000018DA">
        <w:rPr>
          <w:rFonts w:ascii="Arial" w:hAnsi="Arial"/>
        </w:rPr>
        <w:t xml:space="preserve"> annual financial statements</w:t>
      </w:r>
      <w:r w:rsidR="00A94CB1">
        <w:rPr>
          <w:rFonts w:ascii="Arial" w:hAnsi="Arial"/>
        </w:rPr>
        <w:t xml:space="preserve"> </w:t>
      </w:r>
      <w:r w:rsidR="00E32D92">
        <w:rPr>
          <w:rFonts w:ascii="Arial" w:hAnsi="Arial"/>
        </w:rPr>
        <w:t>or to meet other responsibilities of the committee.</w:t>
      </w:r>
    </w:p>
    <w:p w14:paraId="6E7A5178" w14:textId="77777777" w:rsidR="004432BA" w:rsidRDefault="004432BA" w:rsidP="00670F2D">
      <w:pPr>
        <w:pStyle w:val="Body"/>
        <w:spacing w:before="0" w:line="0" w:lineRule="atLeast"/>
        <w:rPr>
          <w:rFonts w:ascii="Arial" w:hAnsi="Arial"/>
        </w:rPr>
      </w:pPr>
    </w:p>
    <w:p w14:paraId="6E7A5179" w14:textId="77777777" w:rsidR="00E32D92" w:rsidRPr="000018DA" w:rsidRDefault="00E32D92" w:rsidP="00670F2D">
      <w:pPr>
        <w:pStyle w:val="Body"/>
        <w:spacing w:before="0" w:line="0" w:lineRule="atLeast"/>
        <w:rPr>
          <w:rFonts w:ascii="Arial" w:hAnsi="Arial"/>
        </w:rPr>
      </w:pPr>
      <w:r>
        <w:rPr>
          <w:rFonts w:ascii="Arial" w:hAnsi="Arial"/>
        </w:rPr>
        <w:t>All committee members are expected to attend each meeting, in person or via tele-or-video conference.</w:t>
      </w:r>
    </w:p>
    <w:p w14:paraId="6E7A517A" w14:textId="77777777" w:rsidR="003D3719" w:rsidRPr="000018DA" w:rsidRDefault="003D3719" w:rsidP="003D3719">
      <w:pPr>
        <w:pStyle w:val="Body"/>
        <w:rPr>
          <w:rFonts w:ascii="Arial" w:hAnsi="Arial"/>
        </w:rPr>
      </w:pPr>
      <w:r w:rsidRPr="000018DA">
        <w:rPr>
          <w:rFonts w:ascii="Arial" w:hAnsi="Arial"/>
        </w:rPr>
        <w:t>The Chair is required to call a meeting if asked to do so by t</w:t>
      </w:r>
      <w:r w:rsidRPr="00B52A78">
        <w:rPr>
          <w:rFonts w:ascii="Arial" w:hAnsi="Arial"/>
          <w:color w:val="auto"/>
        </w:rPr>
        <w:t xml:space="preserve">he </w:t>
      </w:r>
      <w:r w:rsidR="009F608F" w:rsidRPr="00B52A78">
        <w:rPr>
          <w:rFonts w:ascii="Arial" w:hAnsi="Arial"/>
          <w:color w:val="auto"/>
        </w:rPr>
        <w:t>accountable authority</w:t>
      </w:r>
      <w:r w:rsidR="00E32D92">
        <w:rPr>
          <w:rFonts w:ascii="Arial" w:hAnsi="Arial"/>
        </w:rPr>
        <w:t xml:space="preserve">, </w:t>
      </w:r>
      <w:r w:rsidR="00E32D92" w:rsidRPr="000018DA">
        <w:rPr>
          <w:rFonts w:ascii="Arial" w:hAnsi="Arial"/>
        </w:rPr>
        <w:t>and</w:t>
      </w:r>
      <w:r w:rsidRPr="000018DA">
        <w:rPr>
          <w:rFonts w:ascii="Arial" w:hAnsi="Arial"/>
        </w:rPr>
        <w:t xml:space="preserve"> decide if a meeting is required if requested by another member</w:t>
      </w:r>
      <w:r w:rsidR="00A94CB1">
        <w:rPr>
          <w:rFonts w:ascii="Arial" w:hAnsi="Arial"/>
        </w:rPr>
        <w:t xml:space="preserve">, internal </w:t>
      </w:r>
      <w:r w:rsidR="002A4268">
        <w:rPr>
          <w:rFonts w:ascii="Arial" w:hAnsi="Arial"/>
        </w:rPr>
        <w:t xml:space="preserve">audit </w:t>
      </w:r>
      <w:r w:rsidR="00A94CB1">
        <w:rPr>
          <w:rFonts w:ascii="Arial" w:hAnsi="Arial"/>
        </w:rPr>
        <w:t xml:space="preserve">or </w:t>
      </w:r>
      <w:r w:rsidR="00642D7F">
        <w:rPr>
          <w:rFonts w:ascii="Arial" w:hAnsi="Arial"/>
        </w:rPr>
        <w:t>the ANAO</w:t>
      </w:r>
      <w:r w:rsidRPr="000018DA">
        <w:rPr>
          <w:rFonts w:ascii="Arial" w:hAnsi="Arial"/>
        </w:rPr>
        <w:t>.</w:t>
      </w:r>
    </w:p>
    <w:p w14:paraId="6E7A517B" w14:textId="77777777" w:rsidR="003D3719" w:rsidRPr="000018DA" w:rsidRDefault="003D3719" w:rsidP="004432BA">
      <w:pPr>
        <w:pStyle w:val="Head-Sub2"/>
        <w:spacing w:before="0"/>
        <w:ind w:left="0" w:firstLine="0"/>
        <w:outlineLvl w:val="0"/>
        <w:rPr>
          <w:rFonts w:ascii="Arial" w:hAnsi="Arial"/>
        </w:rPr>
      </w:pPr>
      <w:r w:rsidRPr="000018DA">
        <w:rPr>
          <w:rFonts w:ascii="Arial" w:hAnsi="Arial"/>
        </w:rPr>
        <w:t>Planning</w:t>
      </w:r>
    </w:p>
    <w:p w14:paraId="6E7A517C" w14:textId="77777777" w:rsidR="003D3719" w:rsidRDefault="003D3719" w:rsidP="003D3719">
      <w:pPr>
        <w:pStyle w:val="Body"/>
        <w:rPr>
          <w:rFonts w:ascii="Arial" w:hAnsi="Arial"/>
        </w:rPr>
      </w:pPr>
      <w:r w:rsidRPr="000018DA">
        <w:rPr>
          <w:rFonts w:ascii="Arial" w:hAnsi="Arial"/>
        </w:rPr>
        <w:t>The committee will develop a forward meeting schedule that includes the dates, location, and proposed agenda items for each meeting for the forthcoming year, and that covers all the responsibilities outlined in this charter.</w:t>
      </w:r>
    </w:p>
    <w:p w14:paraId="6E7A517D" w14:textId="77777777" w:rsidR="00B52A78" w:rsidRDefault="00B52A78" w:rsidP="003D3719">
      <w:pPr>
        <w:pStyle w:val="Body"/>
        <w:rPr>
          <w:rFonts w:ascii="Arial" w:hAnsi="Arial"/>
        </w:rPr>
      </w:pPr>
    </w:p>
    <w:p w14:paraId="6E7A517E" w14:textId="77777777" w:rsidR="003D3719" w:rsidRPr="000018DA" w:rsidRDefault="00E32D92" w:rsidP="004432BA">
      <w:pPr>
        <w:pStyle w:val="Head-Sub2"/>
        <w:spacing w:before="0"/>
        <w:ind w:left="0" w:firstLine="0"/>
        <w:outlineLvl w:val="0"/>
        <w:rPr>
          <w:rFonts w:ascii="Arial" w:hAnsi="Arial"/>
        </w:rPr>
      </w:pPr>
      <w:r>
        <w:rPr>
          <w:rFonts w:ascii="Arial" w:hAnsi="Arial"/>
        </w:rPr>
        <w:t>Q</w:t>
      </w:r>
      <w:r w:rsidR="003D3719" w:rsidRPr="000018DA">
        <w:rPr>
          <w:rFonts w:ascii="Arial" w:hAnsi="Arial"/>
        </w:rPr>
        <w:t>uorum</w:t>
      </w:r>
    </w:p>
    <w:p w14:paraId="6E7A517F" w14:textId="77777777" w:rsidR="003D3719" w:rsidRPr="000018DA" w:rsidRDefault="003D3719" w:rsidP="003D3719">
      <w:pPr>
        <w:pStyle w:val="Body"/>
        <w:rPr>
          <w:rFonts w:ascii="Arial" w:hAnsi="Arial"/>
        </w:rPr>
      </w:pPr>
      <w:r w:rsidRPr="000018DA">
        <w:rPr>
          <w:rFonts w:ascii="Arial" w:hAnsi="Arial"/>
        </w:rPr>
        <w:t xml:space="preserve">A quorum will consist of a majority of committee members. </w:t>
      </w:r>
      <w:r w:rsidR="00E32D92">
        <w:rPr>
          <w:rFonts w:ascii="Arial" w:hAnsi="Arial"/>
        </w:rPr>
        <w:t>The quorum must be</w:t>
      </w:r>
      <w:r w:rsidR="00C10F34">
        <w:rPr>
          <w:rFonts w:ascii="Arial" w:hAnsi="Arial"/>
        </w:rPr>
        <w:t xml:space="preserve"> </w:t>
      </w:r>
      <w:r w:rsidR="00250C6E">
        <w:rPr>
          <w:rFonts w:ascii="Arial" w:hAnsi="Arial"/>
        </w:rPr>
        <w:t>in attendance</w:t>
      </w:r>
      <w:r w:rsidR="00E32D92">
        <w:rPr>
          <w:rFonts w:ascii="Arial" w:hAnsi="Arial"/>
        </w:rPr>
        <w:t xml:space="preserve"> at all times during the meeting.</w:t>
      </w:r>
    </w:p>
    <w:p w14:paraId="6E7A5180" w14:textId="77777777" w:rsidR="003D3719" w:rsidRPr="000018DA" w:rsidRDefault="003D3719" w:rsidP="003D3719">
      <w:pPr>
        <w:pStyle w:val="Head-Sub2"/>
        <w:outlineLvl w:val="0"/>
        <w:rPr>
          <w:rFonts w:ascii="Arial" w:hAnsi="Arial"/>
        </w:rPr>
      </w:pPr>
      <w:r w:rsidRPr="000018DA">
        <w:rPr>
          <w:rFonts w:ascii="Arial" w:hAnsi="Arial"/>
        </w:rPr>
        <w:t>Secretariat</w:t>
      </w:r>
    </w:p>
    <w:p w14:paraId="6E7A5181" w14:textId="77777777" w:rsidR="003D3719" w:rsidRPr="000018DA" w:rsidRDefault="00E32D92" w:rsidP="003D3719">
      <w:pPr>
        <w:pStyle w:val="Body"/>
        <w:rPr>
          <w:rFonts w:ascii="Arial" w:hAnsi="Arial"/>
        </w:rPr>
      </w:pPr>
      <w:r>
        <w:rPr>
          <w:rFonts w:ascii="Arial" w:hAnsi="Arial"/>
        </w:rPr>
        <w:t xml:space="preserve">Secretariat arrangements will be the same as for </w:t>
      </w:r>
      <w:r w:rsidRPr="00250C6E">
        <w:rPr>
          <w:rFonts w:ascii="Arial" w:hAnsi="Arial"/>
          <w:color w:val="auto"/>
        </w:rPr>
        <w:t xml:space="preserve">the </w:t>
      </w:r>
      <w:r w:rsidR="009F608F" w:rsidRPr="00250C6E">
        <w:rPr>
          <w:rFonts w:ascii="Arial" w:hAnsi="Arial"/>
          <w:color w:val="auto"/>
        </w:rPr>
        <w:t>accountable authority</w:t>
      </w:r>
      <w:r w:rsidR="003D3719" w:rsidRPr="00250C6E">
        <w:rPr>
          <w:rFonts w:ascii="Arial" w:hAnsi="Arial"/>
          <w:color w:val="auto"/>
        </w:rPr>
        <w:t xml:space="preserve">. </w:t>
      </w:r>
      <w:r w:rsidR="003D3719" w:rsidRPr="000018DA">
        <w:rPr>
          <w:rFonts w:ascii="Arial" w:hAnsi="Arial"/>
        </w:rPr>
        <w:t>The secretariat will: ensure the agenda for each meeting is approved by the Chair; the agenda and supporting papers are circulated, at least one week before the meeting; and ensure the minutes of the meetings are prepared and maintained. Minutes must be reviewed by the Chair and circulated within two weeks of the meeting to each member and committee observers, as appropriate.</w:t>
      </w:r>
    </w:p>
    <w:p w14:paraId="6E7A5182" w14:textId="77777777" w:rsidR="003D3719" w:rsidRPr="000018DA" w:rsidRDefault="003D3719" w:rsidP="004432BA">
      <w:pPr>
        <w:pStyle w:val="Head-Sub2"/>
        <w:spacing w:before="240"/>
        <w:outlineLvl w:val="0"/>
        <w:rPr>
          <w:rFonts w:ascii="Arial" w:hAnsi="Arial"/>
        </w:rPr>
      </w:pPr>
      <w:r w:rsidRPr="000018DA">
        <w:rPr>
          <w:rFonts w:ascii="Arial" w:hAnsi="Arial"/>
        </w:rPr>
        <w:t>Conflicts of interest</w:t>
      </w:r>
    </w:p>
    <w:p w14:paraId="6E7A5183" w14:textId="77777777" w:rsidR="003D3719" w:rsidRPr="000018DA" w:rsidRDefault="003D3719" w:rsidP="003D3719">
      <w:pPr>
        <w:pStyle w:val="Body"/>
        <w:rPr>
          <w:rFonts w:ascii="Arial" w:hAnsi="Arial"/>
        </w:rPr>
      </w:pPr>
      <w:r w:rsidRPr="000018DA">
        <w:rPr>
          <w:rFonts w:ascii="Arial" w:hAnsi="Arial"/>
        </w:rPr>
        <w:t xml:space="preserve">Once each year, members of the </w:t>
      </w:r>
      <w:r w:rsidR="00DD7F03">
        <w:rPr>
          <w:rFonts w:ascii="Arial" w:hAnsi="Arial"/>
        </w:rPr>
        <w:t>c</w:t>
      </w:r>
      <w:r w:rsidRPr="000018DA">
        <w:rPr>
          <w:rFonts w:ascii="Arial" w:hAnsi="Arial"/>
        </w:rPr>
        <w:t>ommittee will provide written declarations</w:t>
      </w:r>
      <w:r w:rsidR="00DD7F03">
        <w:rPr>
          <w:rFonts w:ascii="Arial" w:hAnsi="Arial"/>
        </w:rPr>
        <w:t>,</w:t>
      </w:r>
      <w:r w:rsidRPr="000018DA">
        <w:rPr>
          <w:rFonts w:ascii="Arial" w:hAnsi="Arial"/>
        </w:rPr>
        <w:t xml:space="preserve"> </w:t>
      </w:r>
      <w:r w:rsidR="00DD7F03">
        <w:rPr>
          <w:rFonts w:ascii="Arial" w:hAnsi="Arial"/>
        </w:rPr>
        <w:t xml:space="preserve">through </w:t>
      </w:r>
      <w:r w:rsidRPr="000018DA">
        <w:rPr>
          <w:rFonts w:ascii="Arial" w:hAnsi="Arial"/>
        </w:rPr>
        <w:t>the Chair</w:t>
      </w:r>
      <w:r w:rsidR="00DD7F03">
        <w:rPr>
          <w:rFonts w:ascii="Arial" w:hAnsi="Arial"/>
        </w:rPr>
        <w:t>,</w:t>
      </w:r>
      <w:r w:rsidRPr="000018DA">
        <w:rPr>
          <w:rFonts w:ascii="Arial" w:hAnsi="Arial"/>
        </w:rPr>
        <w:t xml:space="preserve"> </w:t>
      </w:r>
      <w:r w:rsidR="00DD7F03">
        <w:rPr>
          <w:rFonts w:ascii="Arial" w:hAnsi="Arial"/>
        </w:rPr>
        <w:t>to</w:t>
      </w:r>
      <w:r w:rsidRPr="000018DA">
        <w:rPr>
          <w:rFonts w:ascii="Arial" w:hAnsi="Arial"/>
        </w:rPr>
        <w:t xml:space="preserve"> </w:t>
      </w:r>
      <w:r w:rsidRPr="00250C6E">
        <w:rPr>
          <w:rFonts w:ascii="Arial" w:hAnsi="Arial"/>
          <w:color w:val="auto"/>
        </w:rPr>
        <w:t xml:space="preserve">the </w:t>
      </w:r>
      <w:r w:rsidR="00EC367F" w:rsidRPr="00250C6E">
        <w:rPr>
          <w:rFonts w:ascii="Arial" w:hAnsi="Arial"/>
          <w:color w:val="auto"/>
        </w:rPr>
        <w:t>accountable authority</w:t>
      </w:r>
      <w:r w:rsidRPr="00250C6E">
        <w:rPr>
          <w:rFonts w:ascii="Arial" w:hAnsi="Arial"/>
          <w:color w:val="auto"/>
        </w:rPr>
        <w:t xml:space="preserve"> </w:t>
      </w:r>
      <w:r w:rsidRPr="000018DA">
        <w:rPr>
          <w:rFonts w:ascii="Arial" w:hAnsi="Arial"/>
        </w:rPr>
        <w:t xml:space="preserve">declaring any </w:t>
      </w:r>
      <w:r w:rsidR="004B6450">
        <w:rPr>
          <w:rFonts w:ascii="Arial" w:hAnsi="Arial"/>
        </w:rPr>
        <w:t>material personal</w:t>
      </w:r>
      <w:r w:rsidRPr="000018DA">
        <w:rPr>
          <w:rFonts w:ascii="Arial" w:hAnsi="Arial"/>
        </w:rPr>
        <w:t xml:space="preserve"> interest</w:t>
      </w:r>
      <w:r w:rsidR="004B6450">
        <w:rPr>
          <w:rFonts w:ascii="Arial" w:hAnsi="Arial"/>
        </w:rPr>
        <w:t>s</w:t>
      </w:r>
      <w:r w:rsidRPr="000018DA">
        <w:rPr>
          <w:rFonts w:ascii="Arial" w:hAnsi="Arial"/>
        </w:rPr>
        <w:t xml:space="preserve"> they may have in relation to their responsibilities. External members should consider past employment, consultancy arrangements and related party issues in making these declarations and </w:t>
      </w:r>
      <w:r w:rsidRPr="00250C6E">
        <w:rPr>
          <w:rFonts w:ascii="Arial" w:hAnsi="Arial"/>
          <w:color w:val="auto"/>
        </w:rPr>
        <w:t xml:space="preserve">the </w:t>
      </w:r>
      <w:r w:rsidR="00DD7F03" w:rsidRPr="00250C6E">
        <w:rPr>
          <w:rFonts w:ascii="Arial" w:hAnsi="Arial"/>
          <w:color w:val="auto"/>
        </w:rPr>
        <w:t>accountable authority</w:t>
      </w:r>
      <w:r w:rsidR="00DD7F03">
        <w:rPr>
          <w:rFonts w:ascii="Arial" w:hAnsi="Arial"/>
        </w:rPr>
        <w:t xml:space="preserve">, in consultation with the </w:t>
      </w:r>
      <w:r w:rsidRPr="000018DA">
        <w:rPr>
          <w:rFonts w:ascii="Arial" w:hAnsi="Arial"/>
        </w:rPr>
        <w:t>Chair</w:t>
      </w:r>
      <w:r w:rsidR="00DD7F03">
        <w:rPr>
          <w:rFonts w:ascii="Arial" w:hAnsi="Arial"/>
        </w:rPr>
        <w:t>,</w:t>
      </w:r>
      <w:r w:rsidRPr="000018DA">
        <w:rPr>
          <w:rFonts w:ascii="Arial" w:hAnsi="Arial"/>
        </w:rPr>
        <w:t xml:space="preserve"> should be satisfied that there are sufficient processes in place to manage any real or perceived conflict. </w:t>
      </w:r>
    </w:p>
    <w:p w14:paraId="6E7A5184" w14:textId="77777777" w:rsidR="003D3719" w:rsidRPr="000018DA" w:rsidRDefault="003D3719" w:rsidP="003D3719">
      <w:pPr>
        <w:pStyle w:val="Body"/>
        <w:rPr>
          <w:rFonts w:ascii="Arial" w:hAnsi="Arial"/>
        </w:rPr>
      </w:pPr>
      <w:r w:rsidRPr="000018DA">
        <w:rPr>
          <w:rFonts w:ascii="Arial" w:hAnsi="Arial"/>
        </w:rPr>
        <w:t xml:space="preserve">At the beginning of each </w:t>
      </w:r>
      <w:r w:rsidR="00DD7F03">
        <w:rPr>
          <w:rFonts w:ascii="Arial" w:hAnsi="Arial"/>
        </w:rPr>
        <w:t>c</w:t>
      </w:r>
      <w:r w:rsidRPr="000018DA">
        <w:rPr>
          <w:rFonts w:ascii="Arial" w:hAnsi="Arial"/>
        </w:rPr>
        <w:t xml:space="preserve">ommittee meeting, members are required to declare any </w:t>
      </w:r>
      <w:r w:rsidR="004B6450">
        <w:rPr>
          <w:rFonts w:ascii="Arial" w:hAnsi="Arial"/>
        </w:rPr>
        <w:t xml:space="preserve">material personal </w:t>
      </w:r>
      <w:r w:rsidRPr="000018DA">
        <w:rPr>
          <w:rFonts w:ascii="Arial" w:hAnsi="Arial"/>
        </w:rPr>
        <w:t>interest</w:t>
      </w:r>
      <w:r w:rsidR="004B6450">
        <w:rPr>
          <w:rFonts w:ascii="Arial" w:hAnsi="Arial"/>
        </w:rPr>
        <w:t>s</w:t>
      </w:r>
      <w:r w:rsidRPr="000018DA">
        <w:rPr>
          <w:rFonts w:ascii="Arial" w:hAnsi="Arial"/>
        </w:rPr>
        <w:t xml:space="preserve"> that may apply to specific matters on the meeting agenda. Where required by the Chair, the member will be excused from the meeting or from the committee’s consideration of the relevant agenda item(s). </w:t>
      </w:r>
      <w:r w:rsidR="00DD7F03">
        <w:rPr>
          <w:rFonts w:ascii="Arial" w:hAnsi="Arial"/>
        </w:rPr>
        <w:t xml:space="preserve">The Chair is also responsible for deciding if he/she should excuse themselves from the meeting </w:t>
      </w:r>
      <w:r w:rsidR="00DD7F03" w:rsidRPr="000018DA">
        <w:rPr>
          <w:rFonts w:ascii="Arial" w:hAnsi="Arial"/>
        </w:rPr>
        <w:t>or from the committee’s consideration of the relevant agenda item(s).</w:t>
      </w:r>
      <w:r w:rsidR="00DD7F03">
        <w:rPr>
          <w:rFonts w:ascii="Arial" w:hAnsi="Arial"/>
        </w:rPr>
        <w:t xml:space="preserve"> </w:t>
      </w:r>
      <w:r w:rsidRPr="000018DA">
        <w:rPr>
          <w:rFonts w:ascii="Arial" w:hAnsi="Arial"/>
        </w:rPr>
        <w:t xml:space="preserve">Details of </w:t>
      </w:r>
      <w:r w:rsidR="004B6450">
        <w:rPr>
          <w:rFonts w:ascii="Arial" w:hAnsi="Arial"/>
        </w:rPr>
        <w:t>material personal</w:t>
      </w:r>
      <w:r w:rsidRPr="000018DA">
        <w:rPr>
          <w:rFonts w:ascii="Arial" w:hAnsi="Arial"/>
        </w:rPr>
        <w:t xml:space="preserve"> interest</w:t>
      </w:r>
      <w:r w:rsidR="004B6450">
        <w:rPr>
          <w:rFonts w:ascii="Arial" w:hAnsi="Arial"/>
        </w:rPr>
        <w:t>s</w:t>
      </w:r>
      <w:r w:rsidRPr="000018DA">
        <w:rPr>
          <w:rFonts w:ascii="Arial" w:hAnsi="Arial"/>
        </w:rPr>
        <w:t xml:space="preserve"> declared by </w:t>
      </w:r>
      <w:r w:rsidR="00DD7F03">
        <w:rPr>
          <w:rFonts w:ascii="Arial" w:hAnsi="Arial"/>
        </w:rPr>
        <w:t xml:space="preserve">the Chair and other </w:t>
      </w:r>
      <w:r w:rsidRPr="000018DA">
        <w:rPr>
          <w:rFonts w:ascii="Arial" w:hAnsi="Arial"/>
        </w:rPr>
        <w:t>members</w:t>
      </w:r>
      <w:r w:rsidR="00DD7F03">
        <w:rPr>
          <w:rFonts w:ascii="Arial" w:hAnsi="Arial"/>
        </w:rPr>
        <w:t>,</w:t>
      </w:r>
      <w:r w:rsidRPr="000018DA">
        <w:rPr>
          <w:rFonts w:ascii="Arial" w:hAnsi="Arial"/>
        </w:rPr>
        <w:t xml:space="preserve"> and action</w:t>
      </w:r>
      <w:r w:rsidR="00DD7F03">
        <w:rPr>
          <w:rFonts w:ascii="Arial" w:hAnsi="Arial"/>
        </w:rPr>
        <w:t>s</w:t>
      </w:r>
      <w:r w:rsidRPr="000018DA">
        <w:rPr>
          <w:rFonts w:ascii="Arial" w:hAnsi="Arial"/>
        </w:rPr>
        <w:t xml:space="preserve"> taken</w:t>
      </w:r>
      <w:r w:rsidR="00DD7F03">
        <w:rPr>
          <w:rFonts w:ascii="Arial" w:hAnsi="Arial"/>
        </w:rPr>
        <w:t>,</w:t>
      </w:r>
      <w:r w:rsidRPr="000018DA">
        <w:rPr>
          <w:rFonts w:ascii="Arial" w:hAnsi="Arial"/>
        </w:rPr>
        <w:t xml:space="preserve"> will be appropriately </w:t>
      </w:r>
      <w:r w:rsidR="00DD7F03">
        <w:rPr>
          <w:rFonts w:ascii="Arial" w:hAnsi="Arial"/>
        </w:rPr>
        <w:t>recorded in the minutes.</w:t>
      </w:r>
    </w:p>
    <w:p w14:paraId="6E7A5185" w14:textId="77777777" w:rsidR="00ED26A7" w:rsidRDefault="00ED26A7" w:rsidP="004432BA">
      <w:pPr>
        <w:pStyle w:val="Head-Sub2"/>
        <w:spacing w:before="240"/>
        <w:outlineLvl w:val="0"/>
        <w:rPr>
          <w:rFonts w:ascii="Arial" w:hAnsi="Arial"/>
        </w:rPr>
      </w:pPr>
    </w:p>
    <w:p w14:paraId="6E7A5186" w14:textId="77777777" w:rsidR="00ED26A7" w:rsidRDefault="00ED26A7" w:rsidP="004432BA">
      <w:pPr>
        <w:pStyle w:val="Head-Sub2"/>
        <w:spacing w:before="240"/>
        <w:outlineLvl w:val="0"/>
        <w:rPr>
          <w:rFonts w:ascii="Arial" w:hAnsi="Arial"/>
        </w:rPr>
      </w:pPr>
    </w:p>
    <w:p w14:paraId="6E7A5187" w14:textId="77777777" w:rsidR="003D3719" w:rsidRPr="000018DA" w:rsidRDefault="003D3719" w:rsidP="004432BA">
      <w:pPr>
        <w:pStyle w:val="Head-Sub2"/>
        <w:spacing w:before="240"/>
        <w:outlineLvl w:val="0"/>
        <w:rPr>
          <w:rFonts w:ascii="Arial" w:hAnsi="Arial"/>
        </w:rPr>
      </w:pPr>
      <w:r w:rsidRPr="000018DA">
        <w:rPr>
          <w:rFonts w:ascii="Arial" w:hAnsi="Arial"/>
        </w:rPr>
        <w:lastRenderedPageBreak/>
        <w:t>Induction</w:t>
      </w:r>
    </w:p>
    <w:p w14:paraId="6E7A5188" w14:textId="77777777" w:rsidR="003D3719" w:rsidRPr="000018DA" w:rsidRDefault="003D3719" w:rsidP="003D3719">
      <w:pPr>
        <w:pStyle w:val="Body"/>
        <w:rPr>
          <w:rFonts w:ascii="Arial" w:hAnsi="Arial"/>
        </w:rPr>
      </w:pPr>
      <w:r w:rsidRPr="000018DA">
        <w:rPr>
          <w:rFonts w:ascii="Arial" w:hAnsi="Arial"/>
        </w:rPr>
        <w:t>New members will receive relevant information and briefings on their appointment to assist them to meet their committee responsibilities.</w:t>
      </w:r>
    </w:p>
    <w:p w14:paraId="6E7A5189" w14:textId="77777777" w:rsidR="003D3719" w:rsidRPr="000018DA" w:rsidRDefault="003D3719" w:rsidP="004432BA">
      <w:pPr>
        <w:pStyle w:val="Head-Sub2"/>
        <w:spacing w:before="240"/>
        <w:outlineLvl w:val="0"/>
        <w:rPr>
          <w:rFonts w:ascii="Arial" w:hAnsi="Arial"/>
        </w:rPr>
      </w:pPr>
      <w:r w:rsidRPr="000018DA">
        <w:rPr>
          <w:rFonts w:ascii="Arial" w:hAnsi="Arial"/>
        </w:rPr>
        <w:t>Assessment arrangements</w:t>
      </w:r>
    </w:p>
    <w:p w14:paraId="6E7A518A" w14:textId="77777777" w:rsidR="003D3719" w:rsidRPr="00250C6E" w:rsidRDefault="003D3719" w:rsidP="003D3719">
      <w:pPr>
        <w:pStyle w:val="Body"/>
        <w:rPr>
          <w:rFonts w:ascii="Arial" w:hAnsi="Arial"/>
          <w:color w:val="auto"/>
        </w:rPr>
      </w:pPr>
      <w:r w:rsidRPr="00250C6E">
        <w:rPr>
          <w:rFonts w:ascii="Arial" w:hAnsi="Arial"/>
          <w:color w:val="auto"/>
        </w:rPr>
        <w:t xml:space="preserve">The Chair of the </w:t>
      </w:r>
      <w:r w:rsidR="000F4E40" w:rsidRPr="00250C6E">
        <w:rPr>
          <w:rFonts w:ascii="Arial" w:hAnsi="Arial"/>
          <w:color w:val="auto"/>
        </w:rPr>
        <w:t>c</w:t>
      </w:r>
      <w:r w:rsidRPr="00250C6E">
        <w:rPr>
          <w:rFonts w:ascii="Arial" w:hAnsi="Arial"/>
          <w:color w:val="auto"/>
        </w:rPr>
        <w:t xml:space="preserve">ommittee, will initiate a </w:t>
      </w:r>
      <w:r w:rsidR="001A1B3A" w:rsidRPr="00250C6E">
        <w:rPr>
          <w:rFonts w:ascii="Arial" w:hAnsi="Arial"/>
          <w:color w:val="auto"/>
        </w:rPr>
        <w:t xml:space="preserve">self-assessment </w:t>
      </w:r>
      <w:r w:rsidRPr="00250C6E">
        <w:rPr>
          <w:rFonts w:ascii="Arial" w:hAnsi="Arial"/>
          <w:color w:val="auto"/>
        </w:rPr>
        <w:t xml:space="preserve">of the performance of the committee at least once every two years. The review will </w:t>
      </w:r>
      <w:r w:rsidR="001A1B3A" w:rsidRPr="00250C6E">
        <w:rPr>
          <w:rFonts w:ascii="Arial" w:hAnsi="Arial"/>
          <w:color w:val="auto"/>
        </w:rPr>
        <w:t>involve</w:t>
      </w:r>
      <w:r w:rsidRPr="00250C6E">
        <w:rPr>
          <w:rFonts w:ascii="Arial" w:hAnsi="Arial"/>
          <w:color w:val="auto"/>
        </w:rPr>
        <w:t xml:space="preserve"> input from the </w:t>
      </w:r>
      <w:r w:rsidR="009F608F" w:rsidRPr="00250C6E">
        <w:rPr>
          <w:rFonts w:ascii="Arial" w:hAnsi="Arial"/>
          <w:color w:val="auto"/>
        </w:rPr>
        <w:t>accountable authority</w:t>
      </w:r>
      <w:r w:rsidRPr="00250C6E">
        <w:rPr>
          <w:rFonts w:ascii="Arial" w:hAnsi="Arial"/>
          <w:color w:val="auto"/>
        </w:rPr>
        <w:t xml:space="preserve">, </w:t>
      </w:r>
      <w:r w:rsidR="009F608F" w:rsidRPr="00250C6E">
        <w:rPr>
          <w:rFonts w:ascii="Arial" w:hAnsi="Arial"/>
          <w:color w:val="auto"/>
        </w:rPr>
        <w:t xml:space="preserve">each </w:t>
      </w:r>
      <w:r w:rsidRPr="00250C6E">
        <w:rPr>
          <w:rFonts w:ascii="Arial" w:hAnsi="Arial"/>
          <w:color w:val="auto"/>
        </w:rPr>
        <w:t>committee member, senior management,</w:t>
      </w:r>
      <w:r w:rsidR="001A1B3A" w:rsidRPr="00250C6E">
        <w:rPr>
          <w:rFonts w:ascii="Arial" w:hAnsi="Arial"/>
          <w:color w:val="auto"/>
        </w:rPr>
        <w:t xml:space="preserve"> </w:t>
      </w:r>
      <w:r w:rsidRPr="00250C6E">
        <w:rPr>
          <w:rFonts w:ascii="Arial" w:hAnsi="Arial"/>
          <w:color w:val="auto"/>
        </w:rPr>
        <w:t xml:space="preserve">internal </w:t>
      </w:r>
      <w:r w:rsidR="00C10F34" w:rsidRPr="00250C6E">
        <w:rPr>
          <w:rFonts w:ascii="Arial" w:hAnsi="Arial"/>
          <w:color w:val="auto"/>
        </w:rPr>
        <w:t>audit, the ANAO</w:t>
      </w:r>
      <w:r w:rsidR="001A1B3A" w:rsidRPr="00250C6E">
        <w:rPr>
          <w:rFonts w:ascii="Arial" w:hAnsi="Arial"/>
          <w:color w:val="auto"/>
        </w:rPr>
        <w:t>,</w:t>
      </w:r>
      <w:r w:rsidRPr="00250C6E">
        <w:rPr>
          <w:rFonts w:ascii="Arial" w:hAnsi="Arial"/>
          <w:color w:val="auto"/>
        </w:rPr>
        <w:t xml:space="preserve"> and any other relevant stakeholders, as determined by the </w:t>
      </w:r>
      <w:r w:rsidR="001A1B3A" w:rsidRPr="00250C6E">
        <w:rPr>
          <w:rFonts w:ascii="Arial" w:hAnsi="Arial"/>
          <w:color w:val="auto"/>
        </w:rPr>
        <w:t>committee.</w:t>
      </w:r>
    </w:p>
    <w:p w14:paraId="6E7A518B" w14:textId="77777777" w:rsidR="003D3719" w:rsidRPr="000018DA" w:rsidRDefault="003D3719" w:rsidP="004432BA">
      <w:pPr>
        <w:pStyle w:val="Head-Sub2"/>
        <w:spacing w:before="240"/>
        <w:outlineLvl w:val="0"/>
        <w:rPr>
          <w:rFonts w:ascii="Arial" w:hAnsi="Arial"/>
        </w:rPr>
      </w:pPr>
      <w:r w:rsidRPr="000018DA">
        <w:rPr>
          <w:rFonts w:ascii="Arial" w:hAnsi="Arial"/>
        </w:rPr>
        <w:t>Review of charter</w:t>
      </w:r>
    </w:p>
    <w:p w14:paraId="6E7A518C" w14:textId="77777777" w:rsidR="003D3719" w:rsidRPr="000018DA" w:rsidRDefault="003D3719" w:rsidP="003D3719">
      <w:pPr>
        <w:pStyle w:val="Body"/>
        <w:rPr>
          <w:rFonts w:ascii="Arial" w:hAnsi="Arial"/>
        </w:rPr>
      </w:pPr>
      <w:r w:rsidRPr="000018DA">
        <w:rPr>
          <w:rFonts w:ascii="Arial" w:hAnsi="Arial"/>
        </w:rPr>
        <w:t xml:space="preserve">At least once a year the committee will review this charter. This review will include consultation with </w:t>
      </w:r>
      <w:r w:rsidRPr="00250C6E">
        <w:rPr>
          <w:rFonts w:ascii="Arial" w:hAnsi="Arial"/>
          <w:color w:val="auto"/>
        </w:rPr>
        <w:t xml:space="preserve">the </w:t>
      </w:r>
      <w:r w:rsidR="009F608F" w:rsidRPr="00250C6E">
        <w:rPr>
          <w:rFonts w:ascii="Arial" w:hAnsi="Arial"/>
          <w:color w:val="auto"/>
        </w:rPr>
        <w:t>accountable authority</w:t>
      </w:r>
      <w:r w:rsidRPr="00250C6E">
        <w:rPr>
          <w:rFonts w:ascii="Arial" w:hAnsi="Arial"/>
          <w:color w:val="auto"/>
        </w:rPr>
        <w:t>.</w:t>
      </w:r>
    </w:p>
    <w:p w14:paraId="6E7A518D" w14:textId="77777777" w:rsidR="003D3719" w:rsidRPr="000018DA" w:rsidRDefault="003D3719" w:rsidP="003D3719">
      <w:pPr>
        <w:pStyle w:val="Body"/>
        <w:rPr>
          <w:rFonts w:ascii="Arial" w:hAnsi="Arial"/>
        </w:rPr>
      </w:pPr>
      <w:r w:rsidRPr="000018DA">
        <w:rPr>
          <w:rFonts w:ascii="Arial" w:hAnsi="Arial"/>
        </w:rPr>
        <w:t xml:space="preserve">Any substantive changes to the charter will be recommended by the committee and formally approved by the </w:t>
      </w:r>
      <w:r w:rsidR="009F608F" w:rsidRPr="00250C6E">
        <w:rPr>
          <w:rFonts w:ascii="Arial" w:hAnsi="Arial"/>
          <w:color w:val="auto"/>
        </w:rPr>
        <w:t>accountable authority</w:t>
      </w:r>
      <w:r w:rsidRPr="00250C6E">
        <w:rPr>
          <w:rFonts w:ascii="Arial" w:hAnsi="Arial"/>
          <w:color w:val="auto"/>
        </w:rPr>
        <w:t>.</w:t>
      </w:r>
    </w:p>
    <w:p w14:paraId="6E7A518E" w14:textId="77777777" w:rsidR="003D3719" w:rsidRPr="000018DA" w:rsidRDefault="003D3719" w:rsidP="003D3719">
      <w:pPr>
        <w:pStyle w:val="Body"/>
        <w:rPr>
          <w:rFonts w:ascii="Arial" w:hAnsi="Arial"/>
        </w:rPr>
      </w:pPr>
    </w:p>
    <w:sectPr w:rsidR="003D3719" w:rsidRPr="000018DA" w:rsidSect="00250C6E">
      <w:footerReference w:type="default" r:id="rId11"/>
      <w:pgSz w:w="11906" w:h="16838"/>
      <w:pgMar w:top="1440" w:right="1701"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28FC" w14:textId="77777777" w:rsidR="002D235F" w:rsidRDefault="002D235F" w:rsidP="003D3719">
      <w:pPr>
        <w:spacing w:before="0" w:after="0"/>
      </w:pPr>
      <w:r>
        <w:separator/>
      </w:r>
    </w:p>
  </w:endnote>
  <w:endnote w:type="continuationSeparator" w:id="0">
    <w:p w14:paraId="04D136A5" w14:textId="77777777" w:rsidR="002D235F" w:rsidRDefault="002D235F" w:rsidP="003D37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Bold">
    <w:altName w:val="55 Helvetica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Medium">
    <w:altName w:val="65 Helvetica Medium"/>
    <w:panose1 w:val="00000000000000000000"/>
    <w:charset w:val="4D"/>
    <w:family w:val="auto"/>
    <w:notTrueType/>
    <w:pitch w:val="default"/>
    <w:sig w:usb0="00000003" w:usb1="00000000" w:usb2="00000000" w:usb3="00000000" w:csb0="00000001" w:csb1="00000000"/>
  </w:font>
  <w:font w:name="HelveticaNeue-LightItalic">
    <w:altName w:val="45 Helvetic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157106"/>
      <w:docPartObj>
        <w:docPartGallery w:val="Page Numbers (Bottom of Page)"/>
        <w:docPartUnique/>
      </w:docPartObj>
    </w:sdtPr>
    <w:sdtEndPr>
      <w:rPr>
        <w:noProof/>
      </w:rPr>
    </w:sdtEndPr>
    <w:sdtContent>
      <w:p w14:paraId="6E7A5199" w14:textId="77777777" w:rsidR="0008319A" w:rsidRDefault="0008319A">
        <w:pPr>
          <w:pStyle w:val="Footer"/>
          <w:jc w:val="right"/>
        </w:pPr>
        <w:r>
          <w:fldChar w:fldCharType="begin"/>
        </w:r>
        <w:r>
          <w:instrText xml:space="preserve"> PAGE   \* MERGEFORMAT </w:instrText>
        </w:r>
        <w:r>
          <w:fldChar w:fldCharType="separate"/>
        </w:r>
        <w:r w:rsidR="00756EE7">
          <w:rPr>
            <w:noProof/>
          </w:rPr>
          <w:t>4</w:t>
        </w:r>
        <w:r>
          <w:rPr>
            <w:noProof/>
          </w:rPr>
          <w:fldChar w:fldCharType="end"/>
        </w:r>
      </w:p>
    </w:sdtContent>
  </w:sdt>
  <w:p w14:paraId="6E7A519A" w14:textId="77777777" w:rsidR="0008319A" w:rsidRDefault="00083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1305" w14:textId="77777777" w:rsidR="002D235F" w:rsidRDefault="002D235F" w:rsidP="003D3719">
      <w:pPr>
        <w:spacing w:before="0" w:after="0"/>
      </w:pPr>
      <w:r>
        <w:separator/>
      </w:r>
    </w:p>
  </w:footnote>
  <w:footnote w:type="continuationSeparator" w:id="0">
    <w:p w14:paraId="53E50CAB" w14:textId="77777777" w:rsidR="002D235F" w:rsidRDefault="002D235F" w:rsidP="003D3719">
      <w:pPr>
        <w:spacing w:before="0" w:after="0"/>
      </w:pPr>
      <w:r>
        <w:continuationSeparator/>
      </w:r>
    </w:p>
  </w:footnote>
  <w:footnote w:id="1">
    <w:p w14:paraId="6E7A519B" w14:textId="77777777" w:rsidR="00823EEB" w:rsidRPr="00823EEB" w:rsidRDefault="00823EEB">
      <w:pPr>
        <w:pStyle w:val="FootnoteText"/>
        <w:rPr>
          <w:lang w:val="en-AU"/>
        </w:rPr>
      </w:pPr>
      <w:r w:rsidRPr="00B551C3">
        <w:rPr>
          <w:rStyle w:val="FootnoteReference"/>
          <w:sz w:val="18"/>
          <w:szCs w:val="18"/>
        </w:rPr>
        <w:footnoteRef/>
      </w:r>
      <w:r w:rsidR="00B77B80">
        <w:rPr>
          <w:sz w:val="18"/>
          <w:szCs w:val="18"/>
        </w:rPr>
        <w:t xml:space="preserve"> PGPA Act R</w:t>
      </w:r>
      <w:r w:rsidRPr="00B551C3">
        <w:rPr>
          <w:sz w:val="18"/>
          <w:szCs w:val="18"/>
        </w:rPr>
        <w:t>ule</w:t>
      </w:r>
      <w:r w:rsidR="00B77B80">
        <w:rPr>
          <w:sz w:val="18"/>
          <w:szCs w:val="18"/>
        </w:rPr>
        <w:t xml:space="preserve"> section</w:t>
      </w:r>
      <w:r w:rsidRPr="00B551C3">
        <w:rPr>
          <w:sz w:val="18"/>
          <w:szCs w:val="18"/>
        </w:rPr>
        <w:t xml:space="preserve"> </w:t>
      </w:r>
      <w:r w:rsidR="00CD5A7D" w:rsidRPr="00B551C3">
        <w:rPr>
          <w:sz w:val="18"/>
          <w:szCs w:val="18"/>
        </w:rPr>
        <w:t>17</w:t>
      </w:r>
      <w:r w:rsidRPr="00B551C3">
        <w:rPr>
          <w:sz w:val="18"/>
          <w:szCs w:val="18"/>
        </w:rPr>
        <w:t xml:space="preserve"> states that the functions of the audit committee of a commonwealth entity must include reviewing the </w:t>
      </w:r>
      <w:r w:rsidR="00CD5A7D" w:rsidRPr="00B551C3">
        <w:rPr>
          <w:sz w:val="18"/>
          <w:szCs w:val="18"/>
        </w:rPr>
        <w:t>appropriateness</w:t>
      </w:r>
      <w:r w:rsidRPr="00B551C3">
        <w:rPr>
          <w:sz w:val="18"/>
          <w:szCs w:val="18"/>
        </w:rPr>
        <w:t xml:space="preserve"> of </w:t>
      </w:r>
      <w:r w:rsidR="00CD5A7D" w:rsidRPr="00B551C3">
        <w:rPr>
          <w:sz w:val="18"/>
          <w:szCs w:val="18"/>
        </w:rPr>
        <w:t>the accountable authority ’s: financial reporting; performance reporting; system of risk oversight and management; and system of internal control.</w:t>
      </w:r>
      <w:r w:rsidR="008275DC" w:rsidRPr="00B551C3">
        <w:rPr>
          <w:sz w:val="18"/>
          <w:szCs w:val="18"/>
        </w:rPr>
        <w:t xml:space="preserve"> As such these functions are mandatory.</w:t>
      </w:r>
    </w:p>
  </w:footnote>
  <w:footnote w:id="2">
    <w:p w14:paraId="6E7A519C" w14:textId="77777777" w:rsidR="003D3719" w:rsidRPr="00851DF9" w:rsidRDefault="003D3719" w:rsidP="00BC3040">
      <w:pPr>
        <w:pStyle w:val="FootnoteText"/>
        <w:spacing w:before="0"/>
        <w:rPr>
          <w:rStyle w:val="FootnoteReference"/>
          <w:rFonts w:ascii="Arial" w:eastAsia="Times New Roman" w:hAnsi="Arial"/>
          <w:sz w:val="20"/>
          <w:szCs w:val="20"/>
          <w:lang w:val="en-AU" w:eastAsia="en-US"/>
        </w:rPr>
      </w:pPr>
      <w:r w:rsidRPr="00851DF9">
        <w:rPr>
          <w:rStyle w:val="FootnoteReference"/>
          <w:rFonts w:ascii="Arial" w:eastAsia="Times New Roman" w:hAnsi="Arial"/>
          <w:sz w:val="20"/>
          <w:szCs w:val="20"/>
          <w:lang w:val="en-AU" w:eastAsia="en-US"/>
        </w:rPr>
        <w:footnoteRef/>
      </w:r>
      <w:r w:rsidR="00851DF9">
        <w:rPr>
          <w:rStyle w:val="FootnoteReference"/>
          <w:rFonts w:ascii="Arial" w:eastAsia="Times New Roman" w:hAnsi="Arial"/>
          <w:sz w:val="20"/>
          <w:szCs w:val="20"/>
          <w:lang w:val="en-AU" w:eastAsia="en-US"/>
        </w:rPr>
        <w:t xml:space="preserve"> </w:t>
      </w:r>
      <w:r w:rsidR="00CD5A7D" w:rsidRPr="00EE227A">
        <w:rPr>
          <w:rStyle w:val="FootnoteReference"/>
          <w:rFonts w:asciiTheme="majorHAnsi" w:eastAsia="Times New Roman" w:hAnsiTheme="majorHAnsi"/>
          <w:sz w:val="18"/>
          <w:szCs w:val="18"/>
          <w:vertAlign w:val="baseline"/>
          <w:lang w:val="en-AU" w:eastAsia="en-US"/>
        </w:rPr>
        <w:t>P</w:t>
      </w:r>
      <w:r w:rsidR="00CD5A7D" w:rsidRPr="00EE227A">
        <w:rPr>
          <w:rFonts w:asciiTheme="majorHAnsi" w:eastAsia="Times New Roman" w:hAnsiTheme="majorHAnsi"/>
          <w:sz w:val="18"/>
          <w:szCs w:val="18"/>
          <w:lang w:val="en-AU" w:eastAsia="en-US"/>
        </w:rPr>
        <w:t xml:space="preserve">GPA Act </w:t>
      </w:r>
      <w:r w:rsidR="00B77B80">
        <w:rPr>
          <w:rFonts w:asciiTheme="majorHAnsi" w:eastAsia="Times New Roman" w:hAnsiTheme="majorHAnsi"/>
          <w:sz w:val="18"/>
          <w:szCs w:val="18"/>
          <w:lang w:val="en-AU" w:eastAsia="en-US"/>
        </w:rPr>
        <w:t>R</w:t>
      </w:r>
      <w:r w:rsidR="00CD5A7D" w:rsidRPr="00EE227A">
        <w:rPr>
          <w:rFonts w:asciiTheme="majorHAnsi" w:eastAsia="Times New Roman" w:hAnsiTheme="majorHAnsi"/>
          <w:sz w:val="18"/>
          <w:szCs w:val="18"/>
          <w:lang w:val="en-AU" w:eastAsia="en-US"/>
        </w:rPr>
        <w:t>ule</w:t>
      </w:r>
      <w:r w:rsidR="00B77B80">
        <w:rPr>
          <w:rFonts w:asciiTheme="majorHAnsi" w:eastAsia="Times New Roman" w:hAnsiTheme="majorHAnsi"/>
          <w:sz w:val="18"/>
          <w:szCs w:val="18"/>
          <w:lang w:val="en-AU" w:eastAsia="en-US"/>
        </w:rPr>
        <w:t xml:space="preserve"> section </w:t>
      </w:r>
      <w:r w:rsidR="00B77B80" w:rsidRPr="00EE227A">
        <w:rPr>
          <w:rFonts w:asciiTheme="majorHAnsi" w:eastAsia="Times New Roman" w:hAnsiTheme="majorHAnsi"/>
          <w:sz w:val="18"/>
          <w:szCs w:val="18"/>
          <w:lang w:val="en-AU" w:eastAsia="en-US"/>
        </w:rPr>
        <w:t>17</w:t>
      </w:r>
      <w:r w:rsidR="00CD5A7D" w:rsidRPr="00EE227A">
        <w:rPr>
          <w:rFonts w:asciiTheme="majorHAnsi" w:eastAsia="Times New Roman" w:hAnsiTheme="majorHAnsi"/>
          <w:sz w:val="18"/>
          <w:szCs w:val="18"/>
          <w:lang w:val="en-AU" w:eastAsia="en-US"/>
        </w:rPr>
        <w:t xml:space="preserve"> requires the committee to consist of at least three members who have appropriate qualifications, knowledge, skills and experience to assist the committee to perform its functions.</w:t>
      </w:r>
      <w:r w:rsidR="00B77B80">
        <w:rPr>
          <w:rFonts w:asciiTheme="majorHAnsi" w:eastAsia="Times New Roman" w:hAnsiTheme="majorHAnsi"/>
          <w:sz w:val="18"/>
          <w:szCs w:val="18"/>
          <w:lang w:val="en-AU" w:eastAsia="en-US"/>
        </w:rPr>
        <w:t xml:space="preserve"> From 1 July 2015, the majority of members of the audit committee must be persons who are nor employees of the entity.</w:t>
      </w:r>
    </w:p>
  </w:footnote>
  <w:footnote w:id="3">
    <w:p w14:paraId="6E7A519D" w14:textId="77777777" w:rsidR="00315F8F" w:rsidRDefault="00315F8F">
      <w:pPr>
        <w:pStyle w:val="FootnoteText"/>
        <w:rPr>
          <w:rFonts w:ascii="Arial" w:hAnsi="Arial" w:cs="Arial"/>
          <w:sz w:val="18"/>
          <w:szCs w:val="18"/>
          <w:lang w:val="en-AU"/>
        </w:rPr>
      </w:pPr>
      <w:r>
        <w:rPr>
          <w:rStyle w:val="FootnoteReference"/>
        </w:rPr>
        <w:footnoteRef/>
      </w:r>
      <w:r>
        <w:t xml:space="preserve"> </w:t>
      </w:r>
      <w:r w:rsidRPr="009E06FD">
        <w:rPr>
          <w:rFonts w:ascii="Arial" w:hAnsi="Arial" w:cs="Arial"/>
          <w:sz w:val="18"/>
          <w:szCs w:val="18"/>
          <w:lang w:val="en-AU"/>
        </w:rPr>
        <w:t xml:space="preserve">PGPA Act Rule </w:t>
      </w:r>
      <w:r w:rsidR="00745469">
        <w:rPr>
          <w:rFonts w:ascii="Arial" w:hAnsi="Arial" w:cs="Arial"/>
          <w:sz w:val="18"/>
          <w:szCs w:val="18"/>
          <w:lang w:val="en-AU"/>
        </w:rPr>
        <w:t>section</w:t>
      </w:r>
      <w:r w:rsidRPr="009E06FD">
        <w:rPr>
          <w:rFonts w:ascii="Arial" w:hAnsi="Arial" w:cs="Arial"/>
          <w:sz w:val="18"/>
          <w:szCs w:val="18"/>
          <w:lang w:val="en-AU"/>
        </w:rPr>
        <w:t xml:space="preserve"> </w:t>
      </w:r>
      <w:r>
        <w:rPr>
          <w:rFonts w:ascii="Arial" w:hAnsi="Arial" w:cs="Arial"/>
          <w:sz w:val="18"/>
          <w:szCs w:val="18"/>
          <w:lang w:val="en-AU"/>
        </w:rPr>
        <w:t>17</w:t>
      </w:r>
      <w:r w:rsidRPr="009E06FD">
        <w:rPr>
          <w:rFonts w:ascii="Arial" w:hAnsi="Arial" w:cs="Arial"/>
          <w:sz w:val="18"/>
          <w:szCs w:val="18"/>
          <w:lang w:val="en-AU"/>
        </w:rPr>
        <w:t xml:space="preserve"> </w:t>
      </w:r>
      <w:r>
        <w:rPr>
          <w:rFonts w:ascii="Arial" w:hAnsi="Arial" w:cs="Arial"/>
          <w:sz w:val="18"/>
          <w:szCs w:val="18"/>
          <w:lang w:val="en-AU"/>
        </w:rPr>
        <w:t xml:space="preserve">states that the functions of an audit committee must include reviewing the appropriateness of the accountable authority’s: financial reporting; performance reporting; system of risk oversight and management; and system of internal control. As such these functions are mandatory. </w:t>
      </w:r>
    </w:p>
    <w:p w14:paraId="6E7A519E" w14:textId="77777777" w:rsidR="00315F8F" w:rsidRPr="00315F8F" w:rsidRDefault="00315F8F">
      <w:pPr>
        <w:pStyle w:val="FootnoteText"/>
        <w:rPr>
          <w:lang w:val="en-AU"/>
        </w:rPr>
      </w:pPr>
    </w:p>
  </w:footnote>
  <w:footnote w:id="4">
    <w:p w14:paraId="6E7A519F" w14:textId="77777777" w:rsidR="007411EC" w:rsidRPr="00B77B80" w:rsidRDefault="007411EC" w:rsidP="007411EC">
      <w:pPr>
        <w:pStyle w:val="FootnoteText"/>
        <w:rPr>
          <w:lang w:val="en-AU"/>
        </w:rPr>
      </w:pPr>
      <w:r>
        <w:rPr>
          <w:rStyle w:val="FootnoteReference"/>
        </w:rPr>
        <w:footnoteRef/>
      </w:r>
      <w:r>
        <w:t xml:space="preserve"> </w:t>
      </w:r>
      <w:r>
        <w:rPr>
          <w:rFonts w:ascii="Arial" w:hAnsi="Arial" w:cs="Arial"/>
          <w:sz w:val="18"/>
          <w:szCs w:val="18"/>
          <w:lang w:val="en-AU"/>
        </w:rPr>
        <w:t xml:space="preserve">An example of an Assurance Map is at page 57 of the ANAO Better Practice Guide </w:t>
      </w:r>
      <w:r w:rsidRPr="00315F8F">
        <w:rPr>
          <w:rFonts w:ascii="Arial" w:hAnsi="Arial" w:cs="Arial"/>
          <w:i/>
          <w:sz w:val="18"/>
          <w:szCs w:val="18"/>
          <w:lang w:val="en-AU"/>
        </w:rPr>
        <w:t xml:space="preserve">Public </w:t>
      </w:r>
      <w:r>
        <w:rPr>
          <w:rFonts w:ascii="Arial" w:hAnsi="Arial" w:cs="Arial"/>
          <w:i/>
          <w:sz w:val="18"/>
          <w:szCs w:val="18"/>
          <w:lang w:val="en-AU"/>
        </w:rPr>
        <w:t>S</w:t>
      </w:r>
      <w:r w:rsidRPr="00315F8F">
        <w:rPr>
          <w:rFonts w:ascii="Arial" w:hAnsi="Arial" w:cs="Arial"/>
          <w:i/>
          <w:sz w:val="18"/>
          <w:szCs w:val="18"/>
          <w:lang w:val="en-AU"/>
        </w:rPr>
        <w:t xml:space="preserve">ector Audit </w:t>
      </w:r>
      <w:r>
        <w:rPr>
          <w:rFonts w:ascii="Arial" w:hAnsi="Arial" w:cs="Arial"/>
          <w:i/>
          <w:sz w:val="18"/>
          <w:szCs w:val="18"/>
          <w:lang w:val="en-AU"/>
        </w:rPr>
        <w:t>C</w:t>
      </w:r>
      <w:r w:rsidRPr="00315F8F">
        <w:rPr>
          <w:rFonts w:ascii="Arial" w:hAnsi="Arial" w:cs="Arial"/>
          <w:i/>
          <w:sz w:val="18"/>
          <w:szCs w:val="18"/>
          <w:lang w:val="en-AU"/>
        </w:rPr>
        <w:t>ommittees,</w:t>
      </w:r>
      <w:r>
        <w:rPr>
          <w:rFonts w:ascii="Arial" w:hAnsi="Arial" w:cs="Arial"/>
          <w:sz w:val="18"/>
          <w:szCs w:val="18"/>
          <w:lang w:val="en-AU"/>
        </w:rPr>
        <w:t xml:space="preserve"> August 2011.</w:t>
      </w:r>
    </w:p>
  </w:footnote>
  <w:footnote w:id="5">
    <w:p w14:paraId="6E7A51A0" w14:textId="77777777" w:rsidR="00600583" w:rsidRPr="00600583" w:rsidRDefault="00600583">
      <w:pPr>
        <w:pStyle w:val="FootnoteText"/>
        <w:rPr>
          <w:sz w:val="18"/>
          <w:szCs w:val="18"/>
          <w:lang w:val="en-AU"/>
        </w:rPr>
      </w:pPr>
      <w:r>
        <w:rPr>
          <w:rStyle w:val="FootnoteReference"/>
        </w:rPr>
        <w:footnoteRef/>
      </w:r>
      <w:r>
        <w:t xml:space="preserve"> </w:t>
      </w:r>
      <w:r w:rsidRPr="00600583">
        <w:rPr>
          <w:sz w:val="18"/>
          <w:szCs w:val="18"/>
          <w:lang w:val="en-AU"/>
        </w:rPr>
        <w:t>The extent to which the audit committee has</w:t>
      </w:r>
      <w:r>
        <w:rPr>
          <w:lang w:val="en-AU"/>
        </w:rPr>
        <w:t xml:space="preserve"> </w:t>
      </w:r>
      <w:r w:rsidRPr="00600583">
        <w:rPr>
          <w:sz w:val="18"/>
          <w:szCs w:val="18"/>
          <w:lang w:val="en-AU"/>
        </w:rPr>
        <w:t xml:space="preserve">approval </w:t>
      </w:r>
      <w:r w:rsidR="00DD3802" w:rsidRPr="00600583">
        <w:rPr>
          <w:sz w:val="18"/>
          <w:szCs w:val="18"/>
          <w:lang w:val="en-AU"/>
        </w:rPr>
        <w:t>authority is</w:t>
      </w:r>
      <w:r w:rsidRPr="00600583">
        <w:rPr>
          <w:sz w:val="18"/>
          <w:szCs w:val="18"/>
          <w:lang w:val="en-AU"/>
        </w:rPr>
        <w:t xml:space="preserve"> a matter to be determined by the </w:t>
      </w:r>
      <w:r w:rsidR="00DD3802" w:rsidRPr="00250C6E">
        <w:rPr>
          <w:sz w:val="18"/>
          <w:szCs w:val="18"/>
          <w:lang w:val="en-AU"/>
        </w:rPr>
        <w:t>accountable authority</w:t>
      </w:r>
      <w:r w:rsidRPr="00250C6E">
        <w:rPr>
          <w:sz w:val="18"/>
          <w:szCs w:val="18"/>
          <w:lang w:val="en-AU"/>
        </w:rPr>
        <w:t xml:space="preserve"> and should be expressly dealt with in the audit committee charter.  </w:t>
      </w:r>
      <w:r w:rsidR="00DD3802" w:rsidRPr="00250C6E">
        <w:rPr>
          <w:sz w:val="18"/>
          <w:szCs w:val="18"/>
          <w:lang w:val="en-AU"/>
        </w:rPr>
        <w:t>Any matters identified in this section as being matter</w:t>
      </w:r>
      <w:r w:rsidR="00DD3802">
        <w:rPr>
          <w:sz w:val="18"/>
          <w:szCs w:val="18"/>
          <w:lang w:val="en-AU"/>
        </w:rPr>
        <w:t xml:space="preserve">s that have been delegated to the audit committee for decision should be consistent with the </w:t>
      </w:r>
      <w:r w:rsidR="009F608F">
        <w:rPr>
          <w:sz w:val="18"/>
          <w:szCs w:val="18"/>
          <w:lang w:val="en-AU"/>
        </w:rPr>
        <w:t>wording used in the Functions section of the charter.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5C4"/>
    <w:multiLevelType w:val="hybridMultilevel"/>
    <w:tmpl w:val="2812B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681DFC"/>
    <w:multiLevelType w:val="hybridMultilevel"/>
    <w:tmpl w:val="E626F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1602DB"/>
    <w:multiLevelType w:val="hybridMultilevel"/>
    <w:tmpl w:val="7982ED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CC64220"/>
    <w:multiLevelType w:val="hybridMultilevel"/>
    <w:tmpl w:val="85C2C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4B30D6"/>
    <w:multiLevelType w:val="hybridMultilevel"/>
    <w:tmpl w:val="80248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AF0E33"/>
    <w:multiLevelType w:val="hybridMultilevel"/>
    <w:tmpl w:val="C1BA8A9C"/>
    <w:lvl w:ilvl="0" w:tplc="0C090001">
      <w:start w:val="1"/>
      <w:numFmt w:val="bullet"/>
      <w:lvlText w:val=""/>
      <w:lvlJc w:val="left"/>
      <w:pPr>
        <w:ind w:left="389" w:hanging="360"/>
      </w:pPr>
      <w:rPr>
        <w:rFonts w:ascii="Symbol" w:hAnsi="Symbo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6" w15:restartNumberingAfterBreak="0">
    <w:nsid w:val="1EB367FF"/>
    <w:multiLevelType w:val="hybridMultilevel"/>
    <w:tmpl w:val="F0F69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241976"/>
    <w:multiLevelType w:val="hybridMultilevel"/>
    <w:tmpl w:val="EA34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2D0D54"/>
    <w:multiLevelType w:val="hybridMultilevel"/>
    <w:tmpl w:val="118C7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6203A91"/>
    <w:multiLevelType w:val="hybridMultilevel"/>
    <w:tmpl w:val="AE161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417709"/>
    <w:multiLevelType w:val="hybridMultilevel"/>
    <w:tmpl w:val="C47EC51C"/>
    <w:lvl w:ilvl="0" w:tplc="6B5E8A4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623DB5"/>
    <w:multiLevelType w:val="hybridMultilevel"/>
    <w:tmpl w:val="BCD49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EA437B0"/>
    <w:multiLevelType w:val="hybridMultilevel"/>
    <w:tmpl w:val="3BF46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ED6C91"/>
    <w:multiLevelType w:val="hybridMultilevel"/>
    <w:tmpl w:val="2FBA6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ED39CA"/>
    <w:multiLevelType w:val="hybridMultilevel"/>
    <w:tmpl w:val="6C5A1DA0"/>
    <w:lvl w:ilvl="0" w:tplc="0C090001">
      <w:start w:val="1"/>
      <w:numFmt w:val="bullet"/>
      <w:lvlText w:val=""/>
      <w:lvlJc w:val="left"/>
      <w:pPr>
        <w:ind w:left="389" w:hanging="360"/>
      </w:pPr>
      <w:rPr>
        <w:rFonts w:ascii="Symbol" w:hAnsi="Symbo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15" w15:restartNumberingAfterBreak="0">
    <w:nsid w:val="55C952F8"/>
    <w:multiLevelType w:val="hybridMultilevel"/>
    <w:tmpl w:val="56EAB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902111"/>
    <w:multiLevelType w:val="hybridMultilevel"/>
    <w:tmpl w:val="647A3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DF4945"/>
    <w:multiLevelType w:val="hybridMultilevel"/>
    <w:tmpl w:val="AC581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A440A6B"/>
    <w:multiLevelType w:val="hybridMultilevel"/>
    <w:tmpl w:val="497A1D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871961"/>
    <w:multiLevelType w:val="hybridMultilevel"/>
    <w:tmpl w:val="90F22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390A0C"/>
    <w:multiLevelType w:val="hybridMultilevel"/>
    <w:tmpl w:val="5628C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73708509">
    <w:abstractNumId w:val="3"/>
  </w:num>
  <w:num w:numId="2" w16cid:durableId="1025447570">
    <w:abstractNumId w:val="8"/>
  </w:num>
  <w:num w:numId="3" w16cid:durableId="1740516022">
    <w:abstractNumId w:val="9"/>
  </w:num>
  <w:num w:numId="4" w16cid:durableId="1045568771">
    <w:abstractNumId w:val="18"/>
  </w:num>
  <w:num w:numId="5" w16cid:durableId="119300976">
    <w:abstractNumId w:val="4"/>
  </w:num>
  <w:num w:numId="6" w16cid:durableId="651834397">
    <w:abstractNumId w:val="13"/>
  </w:num>
  <w:num w:numId="7" w16cid:durableId="389888105">
    <w:abstractNumId w:val="10"/>
  </w:num>
  <w:num w:numId="8" w16cid:durableId="183398126">
    <w:abstractNumId w:val="20"/>
  </w:num>
  <w:num w:numId="9" w16cid:durableId="33846203">
    <w:abstractNumId w:val="17"/>
  </w:num>
  <w:num w:numId="10" w16cid:durableId="707068822">
    <w:abstractNumId w:val="12"/>
  </w:num>
  <w:num w:numId="11" w16cid:durableId="1718042212">
    <w:abstractNumId w:val="6"/>
  </w:num>
  <w:num w:numId="12" w16cid:durableId="1531457934">
    <w:abstractNumId w:val="1"/>
  </w:num>
  <w:num w:numId="13" w16cid:durableId="903105587">
    <w:abstractNumId w:val="11"/>
  </w:num>
  <w:num w:numId="14" w16cid:durableId="2035227026">
    <w:abstractNumId w:val="19"/>
  </w:num>
  <w:num w:numId="15" w16cid:durableId="814376577">
    <w:abstractNumId w:val="7"/>
  </w:num>
  <w:num w:numId="16" w16cid:durableId="885947901">
    <w:abstractNumId w:val="2"/>
  </w:num>
  <w:num w:numId="17" w16cid:durableId="47384501">
    <w:abstractNumId w:val="15"/>
  </w:num>
  <w:num w:numId="18" w16cid:durableId="1859662724">
    <w:abstractNumId w:val="16"/>
  </w:num>
  <w:num w:numId="19" w16cid:durableId="676273691">
    <w:abstractNumId w:val="0"/>
  </w:num>
  <w:num w:numId="20" w16cid:durableId="610014471">
    <w:abstractNumId w:val="5"/>
  </w:num>
  <w:num w:numId="21" w16cid:durableId="17483810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719"/>
    <w:rsid w:val="0000552F"/>
    <w:rsid w:val="0008319A"/>
    <w:rsid w:val="0009215D"/>
    <w:rsid w:val="000A53FA"/>
    <w:rsid w:val="000A56A5"/>
    <w:rsid w:val="000C30AF"/>
    <w:rsid w:val="000C39E9"/>
    <w:rsid w:val="000D62C6"/>
    <w:rsid w:val="000E0678"/>
    <w:rsid w:val="000E7A44"/>
    <w:rsid w:val="000F4E40"/>
    <w:rsid w:val="0011042C"/>
    <w:rsid w:val="0011058D"/>
    <w:rsid w:val="001117D1"/>
    <w:rsid w:val="00140F0C"/>
    <w:rsid w:val="00173EA7"/>
    <w:rsid w:val="00176926"/>
    <w:rsid w:val="00185AE1"/>
    <w:rsid w:val="00186EBA"/>
    <w:rsid w:val="00193804"/>
    <w:rsid w:val="001A1B3A"/>
    <w:rsid w:val="001A63BE"/>
    <w:rsid w:val="001E1FBF"/>
    <w:rsid w:val="001E4228"/>
    <w:rsid w:val="00201BA2"/>
    <w:rsid w:val="002151DF"/>
    <w:rsid w:val="00250C6E"/>
    <w:rsid w:val="00280E50"/>
    <w:rsid w:val="002971C4"/>
    <w:rsid w:val="002A4268"/>
    <w:rsid w:val="002B363E"/>
    <w:rsid w:val="002C5935"/>
    <w:rsid w:val="002D235F"/>
    <w:rsid w:val="002D3B8F"/>
    <w:rsid w:val="0030723B"/>
    <w:rsid w:val="00315F8F"/>
    <w:rsid w:val="00332B62"/>
    <w:rsid w:val="00363732"/>
    <w:rsid w:val="003D3719"/>
    <w:rsid w:val="003F29D9"/>
    <w:rsid w:val="00433E08"/>
    <w:rsid w:val="004432BA"/>
    <w:rsid w:val="00446470"/>
    <w:rsid w:val="00451557"/>
    <w:rsid w:val="00457A76"/>
    <w:rsid w:val="00475B22"/>
    <w:rsid w:val="004A1559"/>
    <w:rsid w:val="004B1B82"/>
    <w:rsid w:val="004B24B2"/>
    <w:rsid w:val="004B46FC"/>
    <w:rsid w:val="004B6450"/>
    <w:rsid w:val="00582153"/>
    <w:rsid w:val="005954A3"/>
    <w:rsid w:val="005A38C1"/>
    <w:rsid w:val="005C265E"/>
    <w:rsid w:val="005C28FE"/>
    <w:rsid w:val="005D4FF9"/>
    <w:rsid w:val="005F12D4"/>
    <w:rsid w:val="00600583"/>
    <w:rsid w:val="006172E2"/>
    <w:rsid w:val="006207B4"/>
    <w:rsid w:val="00642D7F"/>
    <w:rsid w:val="0066255E"/>
    <w:rsid w:val="00670F2D"/>
    <w:rsid w:val="006940E1"/>
    <w:rsid w:val="006A6671"/>
    <w:rsid w:val="006B7BCF"/>
    <w:rsid w:val="006D29C2"/>
    <w:rsid w:val="006F0CA2"/>
    <w:rsid w:val="00701787"/>
    <w:rsid w:val="007066B6"/>
    <w:rsid w:val="00724960"/>
    <w:rsid w:val="007329B2"/>
    <w:rsid w:val="007411EC"/>
    <w:rsid w:val="00743D50"/>
    <w:rsid w:val="00745469"/>
    <w:rsid w:val="00756EE7"/>
    <w:rsid w:val="007A4C28"/>
    <w:rsid w:val="007D4B16"/>
    <w:rsid w:val="007F12C9"/>
    <w:rsid w:val="007F37EC"/>
    <w:rsid w:val="00823EEB"/>
    <w:rsid w:val="008275DC"/>
    <w:rsid w:val="008275FB"/>
    <w:rsid w:val="00842214"/>
    <w:rsid w:val="00851DF9"/>
    <w:rsid w:val="008558AF"/>
    <w:rsid w:val="008565A6"/>
    <w:rsid w:val="008665A2"/>
    <w:rsid w:val="008B4772"/>
    <w:rsid w:val="008E30A7"/>
    <w:rsid w:val="00900909"/>
    <w:rsid w:val="00903F4D"/>
    <w:rsid w:val="009135B1"/>
    <w:rsid w:val="00926ED9"/>
    <w:rsid w:val="009464F6"/>
    <w:rsid w:val="00971C84"/>
    <w:rsid w:val="0097343B"/>
    <w:rsid w:val="00974B38"/>
    <w:rsid w:val="00980575"/>
    <w:rsid w:val="009840CC"/>
    <w:rsid w:val="0098644C"/>
    <w:rsid w:val="0099540E"/>
    <w:rsid w:val="009E06FD"/>
    <w:rsid w:val="009F608F"/>
    <w:rsid w:val="00A05CA4"/>
    <w:rsid w:val="00A413F9"/>
    <w:rsid w:val="00A5560F"/>
    <w:rsid w:val="00A628BB"/>
    <w:rsid w:val="00A94CB1"/>
    <w:rsid w:val="00AA0A7C"/>
    <w:rsid w:val="00AB1826"/>
    <w:rsid w:val="00AC525D"/>
    <w:rsid w:val="00AD27D8"/>
    <w:rsid w:val="00AF4C1F"/>
    <w:rsid w:val="00B21544"/>
    <w:rsid w:val="00B2505F"/>
    <w:rsid w:val="00B30FA3"/>
    <w:rsid w:val="00B36829"/>
    <w:rsid w:val="00B52A78"/>
    <w:rsid w:val="00B551C3"/>
    <w:rsid w:val="00B77B80"/>
    <w:rsid w:val="00B84297"/>
    <w:rsid w:val="00B95438"/>
    <w:rsid w:val="00BB4351"/>
    <w:rsid w:val="00BC3040"/>
    <w:rsid w:val="00C10F34"/>
    <w:rsid w:val="00C22146"/>
    <w:rsid w:val="00C23968"/>
    <w:rsid w:val="00C470B4"/>
    <w:rsid w:val="00C70BBD"/>
    <w:rsid w:val="00C96564"/>
    <w:rsid w:val="00CA4E1C"/>
    <w:rsid w:val="00CA7545"/>
    <w:rsid w:val="00CB5176"/>
    <w:rsid w:val="00CC320F"/>
    <w:rsid w:val="00CD5A7D"/>
    <w:rsid w:val="00CD655E"/>
    <w:rsid w:val="00D469B9"/>
    <w:rsid w:val="00D5103F"/>
    <w:rsid w:val="00D55F15"/>
    <w:rsid w:val="00D57915"/>
    <w:rsid w:val="00D70F04"/>
    <w:rsid w:val="00DD3802"/>
    <w:rsid w:val="00DD7F03"/>
    <w:rsid w:val="00DF220B"/>
    <w:rsid w:val="00DF6353"/>
    <w:rsid w:val="00E01D04"/>
    <w:rsid w:val="00E22410"/>
    <w:rsid w:val="00E32D92"/>
    <w:rsid w:val="00E50902"/>
    <w:rsid w:val="00E86997"/>
    <w:rsid w:val="00EA13E8"/>
    <w:rsid w:val="00EB2EFB"/>
    <w:rsid w:val="00EB7E10"/>
    <w:rsid w:val="00EC095C"/>
    <w:rsid w:val="00EC1333"/>
    <w:rsid w:val="00EC367F"/>
    <w:rsid w:val="00ED26A7"/>
    <w:rsid w:val="00ED7BA9"/>
    <w:rsid w:val="00EE227A"/>
    <w:rsid w:val="00EE4FAB"/>
    <w:rsid w:val="00F173D2"/>
    <w:rsid w:val="00F52879"/>
    <w:rsid w:val="00F73390"/>
    <w:rsid w:val="00F75B56"/>
    <w:rsid w:val="00F7704C"/>
    <w:rsid w:val="00FA2266"/>
    <w:rsid w:val="00FF7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5102"/>
  <w15:docId w15:val="{3A2E68E5-F8AB-4009-990F-1CF30457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719"/>
    <w:rPr>
      <w:rFonts w:ascii="Cambria" w:eastAsia="MS Mincho" w:hAnsi="Cambria"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3D3719"/>
    <w:pPr>
      <w:widowControl w:val="0"/>
      <w:suppressAutoHyphens/>
      <w:autoSpaceDE w:val="0"/>
      <w:autoSpaceDN w:val="0"/>
      <w:adjustRightInd w:val="0"/>
      <w:spacing w:before="170" w:after="0" w:line="270" w:lineRule="atLeast"/>
      <w:textAlignment w:val="center"/>
    </w:pPr>
    <w:rPr>
      <w:rFonts w:ascii="HelveticaNeue-Light" w:hAnsi="HelveticaNeue-Light" w:cs="HelveticaNeue-Light"/>
      <w:color w:val="000000"/>
      <w:sz w:val="20"/>
      <w:szCs w:val="20"/>
      <w:lang w:val="en-GB"/>
    </w:rPr>
  </w:style>
  <w:style w:type="paragraph" w:customStyle="1" w:styleId="Head-CHAPTER">
    <w:name w:val="Head - CHAPTER"/>
    <w:basedOn w:val="Body"/>
    <w:uiPriority w:val="99"/>
    <w:rsid w:val="003D3719"/>
    <w:pPr>
      <w:pBdr>
        <w:bottom w:val="single" w:sz="4" w:space="8" w:color="000000"/>
      </w:pBdr>
      <w:spacing w:after="170" w:line="400" w:lineRule="atLeast"/>
      <w:ind w:left="567" w:hanging="567"/>
    </w:pPr>
    <w:rPr>
      <w:rFonts w:ascii="HelveticaNeue-Bold" w:hAnsi="HelveticaNeue-Bold" w:cs="HelveticaNeue-Bold"/>
      <w:b/>
      <w:bCs/>
      <w:color w:val="007AC3"/>
      <w:w w:val="87"/>
      <w:sz w:val="36"/>
      <w:szCs w:val="36"/>
    </w:rPr>
  </w:style>
  <w:style w:type="paragraph" w:customStyle="1" w:styleId="Head-Sub1">
    <w:name w:val="Head - Sub1"/>
    <w:basedOn w:val="Head-CHAPTER"/>
    <w:uiPriority w:val="99"/>
    <w:rsid w:val="003D3719"/>
    <w:pPr>
      <w:pBdr>
        <w:bottom w:val="none" w:sz="0" w:space="0" w:color="auto"/>
      </w:pBdr>
      <w:spacing w:before="340" w:after="0"/>
    </w:pPr>
    <w:rPr>
      <w:sz w:val="30"/>
      <w:szCs w:val="30"/>
    </w:rPr>
  </w:style>
  <w:style w:type="paragraph" w:customStyle="1" w:styleId="Body-dotpoints">
    <w:name w:val="Body - dot points"/>
    <w:basedOn w:val="Normal"/>
    <w:uiPriority w:val="99"/>
    <w:rsid w:val="003D3719"/>
    <w:pPr>
      <w:widowControl w:val="0"/>
      <w:suppressAutoHyphens/>
      <w:autoSpaceDE w:val="0"/>
      <w:autoSpaceDN w:val="0"/>
      <w:adjustRightInd w:val="0"/>
      <w:spacing w:before="170" w:after="0" w:line="270" w:lineRule="atLeast"/>
      <w:ind w:left="397" w:hanging="397"/>
      <w:textAlignment w:val="center"/>
    </w:pPr>
    <w:rPr>
      <w:rFonts w:ascii="HelveticaNeue-Light" w:hAnsi="HelveticaNeue-Light" w:cs="HelveticaNeue-Light"/>
      <w:color w:val="000000"/>
      <w:sz w:val="20"/>
      <w:szCs w:val="20"/>
      <w:lang w:val="en-GB"/>
    </w:rPr>
  </w:style>
  <w:style w:type="paragraph" w:customStyle="1" w:styleId="Head-Sub2">
    <w:name w:val="Head - Sub 2"/>
    <w:basedOn w:val="Head-Sub1"/>
    <w:uiPriority w:val="99"/>
    <w:rsid w:val="003D3719"/>
    <w:pPr>
      <w:spacing w:before="227"/>
    </w:pPr>
    <w:rPr>
      <w:sz w:val="26"/>
      <w:szCs w:val="26"/>
    </w:rPr>
  </w:style>
  <w:style w:type="paragraph" w:customStyle="1" w:styleId="Body-bluebox">
    <w:name w:val="Body - blue box"/>
    <w:basedOn w:val="Body"/>
    <w:uiPriority w:val="99"/>
    <w:rsid w:val="003D3719"/>
    <w:pPr>
      <w:ind w:left="227" w:right="227"/>
      <w:jc w:val="left"/>
    </w:pPr>
    <w:rPr>
      <w:color w:val="FFFFFF"/>
    </w:rPr>
  </w:style>
  <w:style w:type="paragraph" w:styleId="FootnoteText">
    <w:name w:val="footnote text"/>
    <w:basedOn w:val="Normal"/>
    <w:link w:val="FootnoteTextChar"/>
    <w:unhideWhenUsed/>
    <w:rsid w:val="003D3719"/>
    <w:pPr>
      <w:spacing w:after="0"/>
    </w:pPr>
  </w:style>
  <w:style w:type="character" w:customStyle="1" w:styleId="FootnoteTextChar">
    <w:name w:val="Footnote Text Char"/>
    <w:basedOn w:val="DefaultParagraphFont"/>
    <w:link w:val="FootnoteText"/>
    <w:uiPriority w:val="99"/>
    <w:rsid w:val="003D3719"/>
    <w:rPr>
      <w:rFonts w:ascii="Cambria" w:eastAsia="MS Mincho" w:hAnsi="Cambria" w:cs="Times New Roman"/>
      <w:sz w:val="24"/>
      <w:szCs w:val="24"/>
    </w:rPr>
  </w:style>
  <w:style w:type="character" w:styleId="FootnoteReference">
    <w:name w:val="footnote reference"/>
    <w:aliases w:val="Footnote text"/>
    <w:unhideWhenUsed/>
    <w:rsid w:val="003D3719"/>
    <w:rPr>
      <w:vertAlign w:val="superscript"/>
    </w:rPr>
  </w:style>
  <w:style w:type="paragraph" w:styleId="Header">
    <w:name w:val="header"/>
    <w:basedOn w:val="Normal"/>
    <w:link w:val="HeaderChar"/>
    <w:uiPriority w:val="99"/>
    <w:unhideWhenUsed/>
    <w:rsid w:val="00903F4D"/>
    <w:pPr>
      <w:tabs>
        <w:tab w:val="center" w:pos="4513"/>
        <w:tab w:val="right" w:pos="9026"/>
      </w:tabs>
      <w:spacing w:before="0" w:after="0"/>
    </w:pPr>
  </w:style>
  <w:style w:type="character" w:customStyle="1" w:styleId="HeaderChar">
    <w:name w:val="Header Char"/>
    <w:basedOn w:val="DefaultParagraphFont"/>
    <w:link w:val="Header"/>
    <w:uiPriority w:val="99"/>
    <w:rsid w:val="00903F4D"/>
    <w:rPr>
      <w:rFonts w:ascii="Cambria" w:eastAsia="MS Mincho" w:hAnsi="Cambria" w:cs="Times New Roman"/>
      <w:sz w:val="24"/>
      <w:szCs w:val="24"/>
      <w:lang w:val="en-US" w:eastAsia="ja-JP"/>
    </w:rPr>
  </w:style>
  <w:style w:type="paragraph" w:styleId="Footer">
    <w:name w:val="footer"/>
    <w:basedOn w:val="Normal"/>
    <w:link w:val="FooterChar"/>
    <w:uiPriority w:val="99"/>
    <w:unhideWhenUsed/>
    <w:rsid w:val="00903F4D"/>
    <w:pPr>
      <w:tabs>
        <w:tab w:val="center" w:pos="4513"/>
        <w:tab w:val="right" w:pos="9026"/>
      </w:tabs>
      <w:spacing w:before="0" w:after="0"/>
    </w:pPr>
  </w:style>
  <w:style w:type="character" w:customStyle="1" w:styleId="FooterChar">
    <w:name w:val="Footer Char"/>
    <w:basedOn w:val="DefaultParagraphFont"/>
    <w:link w:val="Footer"/>
    <w:uiPriority w:val="99"/>
    <w:rsid w:val="00903F4D"/>
    <w:rPr>
      <w:rFonts w:ascii="Cambria" w:eastAsia="MS Mincho" w:hAnsi="Cambria" w:cs="Times New Roman"/>
      <w:sz w:val="24"/>
      <w:szCs w:val="24"/>
      <w:lang w:val="en-US" w:eastAsia="ja-JP"/>
    </w:rPr>
  </w:style>
  <w:style w:type="paragraph" w:styleId="BalloonText">
    <w:name w:val="Balloon Text"/>
    <w:basedOn w:val="Normal"/>
    <w:link w:val="BalloonTextChar"/>
    <w:uiPriority w:val="99"/>
    <w:semiHidden/>
    <w:unhideWhenUsed/>
    <w:rsid w:val="00185AE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AE1"/>
    <w:rPr>
      <w:rFonts w:ascii="Tahoma" w:eastAsia="MS Mincho" w:hAnsi="Tahoma" w:cs="Tahoma"/>
      <w:sz w:val="16"/>
      <w:szCs w:val="16"/>
      <w:lang w:val="en-US" w:eastAsia="ja-JP"/>
    </w:rPr>
  </w:style>
  <w:style w:type="paragraph" w:styleId="ListParagraph">
    <w:name w:val="List Paragraph"/>
    <w:basedOn w:val="Normal"/>
    <w:uiPriority w:val="34"/>
    <w:qFormat/>
    <w:rsid w:val="00670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7835AAE14E94D985BB2EEC87070FF" ma:contentTypeVersion="7" ma:contentTypeDescription="Create a new document." ma:contentTypeScope="" ma:versionID="34127e0d49d79df2793e4839269f3396">
  <xsd:schema xmlns:xsd="http://www.w3.org/2001/XMLSchema" xmlns:xs="http://www.w3.org/2001/XMLSchema" xmlns:p="http://schemas.microsoft.com/office/2006/metadata/properties" xmlns:ns2="f11110bd-de9f-4d2f-b581-9b091476d928" targetNamespace="http://schemas.microsoft.com/office/2006/metadata/properties" ma:root="true" ma:fieldsID="1a9b2fa51fce2c8a7f5e181b22d93c2b" ns2:_="">
    <xsd:import namespace="f11110bd-de9f-4d2f-b581-9b091476d9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110bd-de9f-4d2f-b581-9b091476d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6CFF9-4F77-4476-A706-93FF666A7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110bd-de9f-4d2f-b581-9b091476d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36A08-FC1B-4913-8DB1-758648EDF551}">
  <ds:schemaRefs>
    <ds:schemaRef ds:uri="http://schemas.microsoft.com/sharepoint/v3/contenttype/forms"/>
  </ds:schemaRefs>
</ds:datastoreItem>
</file>

<file path=customXml/itemProps3.xml><?xml version="1.0" encoding="utf-8"?>
<ds:datastoreItem xmlns:ds="http://schemas.openxmlformats.org/officeDocument/2006/customXml" ds:itemID="{86E3E012-2C5A-445F-9B8E-484BC8954B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anaouser</dc:creator>
  <cp:lastModifiedBy>Derek Mayger - Tiwi Land Council</cp:lastModifiedBy>
  <cp:revision>3</cp:revision>
  <cp:lastPrinted>2014-06-21T06:31:00Z</cp:lastPrinted>
  <dcterms:created xsi:type="dcterms:W3CDTF">2021-05-17T05:41:00Z</dcterms:created>
  <dcterms:modified xsi:type="dcterms:W3CDTF">2022-04-27T08:07:00Z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1349097v1 Model Audit Committee charter - FMA entity</vt:lpwstr>
  </property>
  <property fmtid="{D5CDD505-2E9C-101B-9397-08002B2CF9AE}" pid="3" name="ContentTypeId">
    <vt:lpwstr>0x0101002F07835AAE14E94D985BB2EEC87070FF</vt:lpwstr>
  </property>
</Properties>
</file>